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B86DD" w14:textId="5B84E38D" w:rsidR="001E2703" w:rsidRDefault="001E2703" w:rsidP="00664319">
      <w:pPr>
        <w:rPr>
          <w:rtl/>
        </w:rPr>
      </w:pPr>
      <w:r>
        <w:rPr>
          <w:rFonts w:hint="cs"/>
          <w:rtl/>
        </w:rPr>
        <w:t>בס"ד</w:t>
      </w:r>
    </w:p>
    <w:p w14:paraId="2CF8C157" w14:textId="1D5227E4" w:rsidR="00664319" w:rsidRDefault="00664319" w:rsidP="00664319">
      <w:pPr>
        <w:rPr>
          <w:rtl/>
        </w:rPr>
      </w:pPr>
    </w:p>
    <w:p w14:paraId="5E1DE5C5" w14:textId="668913F7" w:rsidR="00664319" w:rsidRPr="00696553" w:rsidRDefault="00664319" w:rsidP="00696553">
      <w:pPr>
        <w:jc w:val="center"/>
        <w:rPr>
          <w:b/>
          <w:bCs/>
          <w:sz w:val="28"/>
          <w:szCs w:val="28"/>
          <w:u w:val="single"/>
          <w:rtl/>
        </w:rPr>
      </w:pPr>
      <w:r w:rsidRPr="00696553">
        <w:rPr>
          <w:b/>
          <w:bCs/>
          <w:sz w:val="28"/>
          <w:szCs w:val="28"/>
          <w:u w:val="single"/>
          <w:rtl/>
        </w:rPr>
        <w:t>גאון ארצי-ישראלי בהלכה ובאגדה</w:t>
      </w:r>
      <w:r w:rsidR="001E2703" w:rsidRPr="00696553">
        <w:rPr>
          <w:b/>
          <w:bCs/>
          <w:sz w:val="28"/>
          <w:szCs w:val="28"/>
          <w:u w:val="single"/>
          <w:rtl/>
        </w:rPr>
        <w:t xml:space="preserve"> </w:t>
      </w:r>
      <w:r w:rsidR="001E2703" w:rsidRPr="00696553">
        <w:rPr>
          <w:rFonts w:hint="cs"/>
          <w:b/>
          <w:bCs/>
          <w:sz w:val="28"/>
          <w:szCs w:val="28"/>
          <w:u w:val="single"/>
          <w:rtl/>
        </w:rPr>
        <w:t xml:space="preserve">- </w:t>
      </w:r>
      <w:r w:rsidR="001E2703" w:rsidRPr="00696553">
        <w:rPr>
          <w:b/>
          <w:bCs/>
          <w:sz w:val="28"/>
          <w:szCs w:val="28"/>
          <w:u w:val="single"/>
          <w:rtl/>
        </w:rPr>
        <w:t>מאת הרב אלישע אבינר</w:t>
      </w:r>
    </w:p>
    <w:p w14:paraId="3C049520" w14:textId="77777777" w:rsidR="00664319" w:rsidRDefault="00664319" w:rsidP="00664319">
      <w:pPr>
        <w:rPr>
          <w:rtl/>
        </w:rPr>
      </w:pPr>
    </w:p>
    <w:p w14:paraId="16D9CF4F" w14:textId="77777777" w:rsidR="00664319" w:rsidRPr="00696553" w:rsidRDefault="00664319" w:rsidP="00664319">
      <w:pPr>
        <w:rPr>
          <w:sz w:val="24"/>
          <w:szCs w:val="24"/>
          <w:rtl/>
        </w:rPr>
      </w:pPr>
      <w:r>
        <w:rPr>
          <w:rtl/>
        </w:rPr>
        <w:tab/>
      </w:r>
      <w:r w:rsidRPr="00696553">
        <w:rPr>
          <w:sz w:val="24"/>
          <w:szCs w:val="24"/>
          <w:rtl/>
        </w:rPr>
        <w:t>הרב משה צבי נריה זצ"ל זכה לכינויים רבים: "אבי דור הכיפות הסרוגות", "מהפכן בשדה החינוך", חתן פרס ישראל לחינוך יהודי, "מנהיג הציונות הדתית", "סופר פורה ומלא רגש", אבל הוא היה בראש ובראשונה גדול בתורה, תלמיד חכם מופלג, גאון ארצי-ישראלי בהלכה ובאגדה.  זוהי נקודת המוצא.  מתוך גדלותו בתורה, פנה הרב נריה זצ"ל אל מרחבי העשייה, להשפיע מתורתו על נערי ישראל, להעניק להם מהיקף ידיעותיו ולהדביק אותם בחוויותיו הרוחניות.</w:t>
      </w:r>
    </w:p>
    <w:p w14:paraId="3CF2C5A4" w14:textId="77777777" w:rsidR="00664319" w:rsidRPr="00696553" w:rsidRDefault="00664319" w:rsidP="00664319">
      <w:pPr>
        <w:rPr>
          <w:sz w:val="24"/>
          <w:szCs w:val="24"/>
          <w:rtl/>
        </w:rPr>
      </w:pPr>
    </w:p>
    <w:p w14:paraId="48950A68" w14:textId="18B8C090" w:rsidR="00664319" w:rsidRPr="00696553" w:rsidRDefault="00664319" w:rsidP="00664319">
      <w:pPr>
        <w:rPr>
          <w:sz w:val="24"/>
          <w:szCs w:val="24"/>
          <w:rtl/>
        </w:rPr>
      </w:pPr>
      <w:r w:rsidRPr="00696553">
        <w:rPr>
          <w:sz w:val="24"/>
          <w:szCs w:val="24"/>
          <w:rtl/>
        </w:rPr>
        <w:tab/>
        <w:t>לראשונה, זכיתי לשמוע את הרב בשנת תשל"ח באחד הכינוסים הראשונים של "תורת כוהנים" בעניני המקדש.  הרב נשא ונתן על מהותו של קרבן פסח הממזג בתוכו תכונות של קרבן יחיד ושל קרבן ציבור.   תוכן השיעור היה אופייני לדרכו הלימודית של הרב.  מאוחר יותר, צירף אותם הרב כהערה בשולי ספר</w:t>
      </w:r>
      <w:r w:rsidR="00696553">
        <w:rPr>
          <w:rFonts w:hint="cs"/>
          <w:sz w:val="24"/>
          <w:szCs w:val="24"/>
          <w:rtl/>
        </w:rPr>
        <w:t>ו</w:t>
      </w:r>
      <w:r w:rsidRPr="00696553">
        <w:rPr>
          <w:sz w:val="24"/>
          <w:szCs w:val="24"/>
          <w:rtl/>
        </w:rPr>
        <w:t xml:space="preserve"> "מועדי </w:t>
      </w:r>
      <w:proofErr w:type="spellStart"/>
      <w:r w:rsidRPr="00696553">
        <w:rPr>
          <w:sz w:val="24"/>
          <w:szCs w:val="24"/>
          <w:rtl/>
        </w:rPr>
        <w:t>הראי"ה</w:t>
      </w:r>
      <w:proofErr w:type="spellEnd"/>
      <w:r w:rsidRPr="00696553">
        <w:rPr>
          <w:sz w:val="24"/>
          <w:szCs w:val="24"/>
          <w:rtl/>
        </w:rPr>
        <w:t xml:space="preserve">" (עמ' </w:t>
      </w:r>
      <w:proofErr w:type="spellStart"/>
      <w:r w:rsidRPr="00696553">
        <w:rPr>
          <w:sz w:val="24"/>
          <w:szCs w:val="24"/>
          <w:rtl/>
        </w:rPr>
        <w:t>רצז-רצט</w:t>
      </w:r>
      <w:proofErr w:type="spellEnd"/>
      <w:r w:rsidRPr="00696553">
        <w:rPr>
          <w:sz w:val="24"/>
          <w:szCs w:val="24"/>
          <w:rtl/>
        </w:rPr>
        <w:t xml:space="preserve"> וכן ב"צניף מלוכה" עמ'  54). והנה, לפני שנה נכחתי בכינוס תורני, והנושא: קרבן פסח.  המרצה, ראש ישיבה ותלמיד חכם מובהק, נשא ונתן באותם </w:t>
      </w:r>
      <w:proofErr w:type="spellStart"/>
      <w:r w:rsidRPr="00696553">
        <w:rPr>
          <w:sz w:val="24"/>
          <w:szCs w:val="24"/>
          <w:rtl/>
        </w:rPr>
        <w:t>ענינים</w:t>
      </w:r>
      <w:proofErr w:type="spellEnd"/>
      <w:r w:rsidRPr="00696553">
        <w:rPr>
          <w:sz w:val="24"/>
          <w:szCs w:val="24"/>
          <w:rtl/>
        </w:rPr>
        <w:t xml:space="preserve"> וכיוון </w:t>
      </w:r>
      <w:proofErr w:type="spellStart"/>
      <w:r w:rsidRPr="00696553">
        <w:rPr>
          <w:sz w:val="24"/>
          <w:szCs w:val="24"/>
          <w:rtl/>
        </w:rPr>
        <w:t>למקצתם</w:t>
      </w:r>
      <w:proofErr w:type="spellEnd"/>
      <w:r w:rsidRPr="00696553">
        <w:rPr>
          <w:sz w:val="24"/>
          <w:szCs w:val="24"/>
          <w:rtl/>
        </w:rPr>
        <w:t xml:space="preserve"> של החידושים שהשמיע </w:t>
      </w:r>
      <w:proofErr w:type="spellStart"/>
      <w:r w:rsidRPr="00696553">
        <w:rPr>
          <w:sz w:val="24"/>
          <w:szCs w:val="24"/>
          <w:rtl/>
        </w:rPr>
        <w:t>הרמ"צ</w:t>
      </w:r>
      <w:proofErr w:type="spellEnd"/>
      <w:r w:rsidRPr="00696553">
        <w:rPr>
          <w:sz w:val="24"/>
          <w:szCs w:val="24"/>
          <w:rtl/>
        </w:rPr>
        <w:t xml:space="preserve"> נריה זצ"ל.  בתום ההרצאה, הערתי למרצה שכל דבריו כלולים בחצי הערה בספר "מועדי </w:t>
      </w:r>
      <w:proofErr w:type="spellStart"/>
      <w:r w:rsidRPr="00696553">
        <w:rPr>
          <w:sz w:val="24"/>
          <w:szCs w:val="24"/>
          <w:rtl/>
        </w:rPr>
        <w:t>הראי"ה</w:t>
      </w:r>
      <w:proofErr w:type="spellEnd"/>
      <w:r w:rsidRPr="00696553">
        <w:rPr>
          <w:sz w:val="24"/>
          <w:szCs w:val="24"/>
          <w:rtl/>
        </w:rPr>
        <w:t>", ובמחציתה השנייה של ההערה יוכל למצוא להם הרחבה ותוספת העמקה מעבר לתוכן הרצאתו... .</w:t>
      </w:r>
    </w:p>
    <w:p w14:paraId="18BD0BDB" w14:textId="77777777" w:rsidR="00664319" w:rsidRPr="00696553" w:rsidRDefault="00664319" w:rsidP="00664319">
      <w:pPr>
        <w:rPr>
          <w:sz w:val="24"/>
          <w:szCs w:val="24"/>
          <w:rtl/>
        </w:rPr>
      </w:pPr>
    </w:p>
    <w:p w14:paraId="277C7C65" w14:textId="7FD0A32A" w:rsidR="00664319" w:rsidRPr="00696553" w:rsidRDefault="00664319" w:rsidP="00664319">
      <w:pPr>
        <w:rPr>
          <w:sz w:val="24"/>
          <w:szCs w:val="24"/>
          <w:rtl/>
        </w:rPr>
      </w:pPr>
      <w:r w:rsidRPr="00696553">
        <w:rPr>
          <w:sz w:val="24"/>
          <w:szCs w:val="24"/>
          <w:rtl/>
        </w:rPr>
        <w:t xml:space="preserve">  </w:t>
      </w:r>
      <w:r w:rsidRPr="00696553">
        <w:rPr>
          <w:sz w:val="24"/>
          <w:szCs w:val="24"/>
          <w:rtl/>
        </w:rPr>
        <w:tab/>
        <w:t>דברי הרב בהלכה ובאגדה היו מפוזרים בבטאונים ("תורה שבעל פה"), בשנתונים (סדרת "</w:t>
      </w:r>
      <w:proofErr w:type="spellStart"/>
      <w:r w:rsidRPr="00696553">
        <w:rPr>
          <w:sz w:val="24"/>
          <w:szCs w:val="24"/>
          <w:rtl/>
        </w:rPr>
        <w:t>תחומין</w:t>
      </w:r>
      <w:proofErr w:type="spellEnd"/>
      <w:r w:rsidRPr="00696553">
        <w:rPr>
          <w:sz w:val="24"/>
          <w:szCs w:val="24"/>
          <w:rtl/>
        </w:rPr>
        <w:t xml:space="preserve">") ובספרי זיכרון, עד שנתכנסו בשני ספריו: "צניף מלוכה", ו"ענבי פתחיה".  גם ספריו הביוגראפיים על מרן </w:t>
      </w:r>
      <w:proofErr w:type="spellStart"/>
      <w:r w:rsidRPr="00696553">
        <w:rPr>
          <w:sz w:val="24"/>
          <w:szCs w:val="24"/>
          <w:rtl/>
        </w:rPr>
        <w:t>הראי"ה</w:t>
      </w:r>
      <w:proofErr w:type="spellEnd"/>
      <w:r w:rsidRPr="00696553">
        <w:rPr>
          <w:sz w:val="24"/>
          <w:szCs w:val="24"/>
          <w:rtl/>
        </w:rPr>
        <w:t xml:space="preserve"> קוק זצ"ל  מלאים הם בהערות הלכתיות נפלאות.  לפעמים הערה אחת  - קטנה בכמות - מקפלת בתוכה חידושים רבים שהיו ראויים להיקבע במאמר שלם. זו </w:t>
      </w:r>
      <w:r w:rsidR="00CB617E" w:rsidRPr="00696553">
        <w:rPr>
          <w:rFonts w:hint="cs"/>
          <w:sz w:val="24"/>
          <w:szCs w:val="24"/>
          <w:rtl/>
        </w:rPr>
        <w:t>היית</w:t>
      </w:r>
      <w:r w:rsidR="00CB617E" w:rsidRPr="00696553">
        <w:rPr>
          <w:rFonts w:hint="eastAsia"/>
          <w:sz w:val="24"/>
          <w:szCs w:val="24"/>
          <w:rtl/>
        </w:rPr>
        <w:t>ה</w:t>
      </w:r>
      <w:r w:rsidRPr="00696553">
        <w:rPr>
          <w:sz w:val="24"/>
          <w:szCs w:val="24"/>
          <w:rtl/>
        </w:rPr>
        <w:t xml:space="preserve"> דרכו של </w:t>
      </w:r>
      <w:proofErr w:type="spellStart"/>
      <w:r w:rsidRPr="00696553">
        <w:rPr>
          <w:sz w:val="24"/>
          <w:szCs w:val="24"/>
          <w:rtl/>
        </w:rPr>
        <w:t>הרמ"צ</w:t>
      </w:r>
      <w:proofErr w:type="spellEnd"/>
      <w:r w:rsidRPr="00696553">
        <w:rPr>
          <w:sz w:val="24"/>
          <w:szCs w:val="24"/>
          <w:rtl/>
        </w:rPr>
        <w:t xml:space="preserve"> נריה זצ"ל - ענוה וצניעות. זמן קצר לפני פטירתו ערך הרב נריה את ספר "</w:t>
      </w:r>
      <w:proofErr w:type="spellStart"/>
      <w:r w:rsidRPr="00696553">
        <w:rPr>
          <w:sz w:val="24"/>
          <w:szCs w:val="24"/>
          <w:rtl/>
        </w:rPr>
        <w:t>ארחות</w:t>
      </w:r>
      <w:proofErr w:type="spellEnd"/>
      <w:r w:rsidRPr="00696553">
        <w:rPr>
          <w:sz w:val="24"/>
          <w:szCs w:val="24"/>
          <w:rtl/>
        </w:rPr>
        <w:t xml:space="preserve"> </w:t>
      </w:r>
      <w:proofErr w:type="spellStart"/>
      <w:r w:rsidRPr="00696553">
        <w:rPr>
          <w:sz w:val="24"/>
          <w:szCs w:val="24"/>
          <w:rtl/>
        </w:rPr>
        <w:t>פתחי'ה</w:t>
      </w:r>
      <w:proofErr w:type="spellEnd"/>
      <w:r w:rsidRPr="00696553">
        <w:rPr>
          <w:sz w:val="24"/>
          <w:szCs w:val="24"/>
          <w:rtl/>
        </w:rPr>
        <w:t xml:space="preserve">", חידושי אביו, הרב פתחיה </w:t>
      </w:r>
      <w:proofErr w:type="spellStart"/>
      <w:r w:rsidRPr="00696553">
        <w:rPr>
          <w:sz w:val="24"/>
          <w:szCs w:val="24"/>
          <w:rtl/>
        </w:rPr>
        <w:t>מנקין</w:t>
      </w:r>
      <w:proofErr w:type="spellEnd"/>
      <w:r w:rsidRPr="00696553">
        <w:rPr>
          <w:sz w:val="24"/>
          <w:szCs w:val="24"/>
          <w:rtl/>
        </w:rPr>
        <w:t xml:space="preserve"> זצ"ל על </w:t>
      </w:r>
      <w:proofErr w:type="spellStart"/>
      <w:r w:rsidRPr="00696553">
        <w:rPr>
          <w:sz w:val="24"/>
          <w:szCs w:val="24"/>
          <w:rtl/>
        </w:rPr>
        <w:t>או"ח</w:t>
      </w:r>
      <w:proofErr w:type="spellEnd"/>
      <w:r w:rsidRPr="00696553">
        <w:rPr>
          <w:sz w:val="24"/>
          <w:szCs w:val="24"/>
          <w:rtl/>
        </w:rPr>
        <w:t>, ועטר אותם בהערות רבות הקובעות ברכה לעצמן.</w:t>
      </w:r>
    </w:p>
    <w:p w14:paraId="4B927B68" w14:textId="77777777" w:rsidR="00CB617E" w:rsidRDefault="00CB617E" w:rsidP="00664319">
      <w:pPr>
        <w:rPr>
          <w:sz w:val="24"/>
          <w:szCs w:val="24"/>
          <w:rtl/>
        </w:rPr>
      </w:pPr>
    </w:p>
    <w:p w14:paraId="03BBAC19" w14:textId="02106F82" w:rsidR="00664319" w:rsidRPr="00696553" w:rsidRDefault="00664319" w:rsidP="00664319">
      <w:pPr>
        <w:rPr>
          <w:sz w:val="24"/>
          <w:szCs w:val="24"/>
          <w:rtl/>
        </w:rPr>
      </w:pPr>
      <w:r w:rsidRPr="00696553">
        <w:rPr>
          <w:sz w:val="24"/>
          <w:szCs w:val="24"/>
          <w:rtl/>
        </w:rPr>
        <w:tab/>
        <w:t xml:space="preserve">ביטוי אחד מגדיר את תורתו של </w:t>
      </w:r>
      <w:proofErr w:type="spellStart"/>
      <w:r w:rsidRPr="00696553">
        <w:rPr>
          <w:sz w:val="24"/>
          <w:szCs w:val="24"/>
          <w:rtl/>
        </w:rPr>
        <w:t>הרמ"צ</w:t>
      </w:r>
      <w:proofErr w:type="spellEnd"/>
      <w:r w:rsidRPr="00696553">
        <w:rPr>
          <w:sz w:val="24"/>
          <w:szCs w:val="24"/>
          <w:rtl/>
        </w:rPr>
        <w:t xml:space="preserve"> נריה: "תורת ארץ-ישראל".  כתלמידים בישיבה, לא אחת שאלנו את עצמנו כיצד צריכה להיראות תורתה של ארץ ישראל על פי חזונו של מרן </w:t>
      </w:r>
      <w:proofErr w:type="spellStart"/>
      <w:r w:rsidRPr="00696553">
        <w:rPr>
          <w:sz w:val="24"/>
          <w:szCs w:val="24"/>
          <w:rtl/>
        </w:rPr>
        <w:t>הראי"ה</w:t>
      </w:r>
      <w:proofErr w:type="spellEnd"/>
      <w:r w:rsidRPr="00696553">
        <w:rPr>
          <w:sz w:val="24"/>
          <w:szCs w:val="24"/>
          <w:rtl/>
        </w:rPr>
        <w:t xml:space="preserve"> זצ"ל.  בעניני אמונה - התשובה קלה יותר, אך בעניני הלכה - הכיצד?</w:t>
      </w:r>
    </w:p>
    <w:p w14:paraId="51C5E32B" w14:textId="77777777" w:rsidR="00664319" w:rsidRPr="00696553" w:rsidRDefault="00664319" w:rsidP="00664319">
      <w:pPr>
        <w:rPr>
          <w:sz w:val="24"/>
          <w:szCs w:val="24"/>
          <w:rtl/>
        </w:rPr>
      </w:pPr>
    </w:p>
    <w:p w14:paraId="2FA8C948" w14:textId="77777777" w:rsidR="00664319" w:rsidRPr="00696553" w:rsidRDefault="00664319" w:rsidP="00664319">
      <w:pPr>
        <w:rPr>
          <w:sz w:val="24"/>
          <w:szCs w:val="24"/>
          <w:rtl/>
        </w:rPr>
      </w:pPr>
      <w:r w:rsidRPr="00696553">
        <w:rPr>
          <w:sz w:val="24"/>
          <w:szCs w:val="24"/>
          <w:rtl/>
        </w:rPr>
        <w:tab/>
        <w:t>בגאונותו המיוחדת סלל הרב נריה לפנינו במאמריו ובספריו את הדרך אל תורתה של א"י. בשורות הבאות אנסה לשרטט (לא כמעריך אלא כמעריץ, לא כמבקר חיצוני אלא כתלמיד קטן לפני ענק התורה), עד כמה שידי הכהה מגעת, קווים עיקריים לשיטתו ההלכתית של הרב נריה, כולם מאפיינים את "תורת ארץ ישראל". יש בה חמישה קווים בולטים:</w:t>
      </w:r>
    </w:p>
    <w:p w14:paraId="793E8EC4" w14:textId="77777777" w:rsidR="00664319" w:rsidRPr="00696553" w:rsidRDefault="00664319" w:rsidP="00664319">
      <w:pPr>
        <w:rPr>
          <w:sz w:val="24"/>
          <w:szCs w:val="24"/>
          <w:rtl/>
        </w:rPr>
      </w:pPr>
      <w:r w:rsidRPr="00696553">
        <w:rPr>
          <w:sz w:val="24"/>
          <w:szCs w:val="24"/>
          <w:rtl/>
        </w:rPr>
        <w:t xml:space="preserve">א. </w:t>
      </w:r>
      <w:r w:rsidRPr="00CB617E">
        <w:rPr>
          <w:b/>
          <w:bCs/>
          <w:sz w:val="24"/>
          <w:szCs w:val="24"/>
          <w:rtl/>
        </w:rPr>
        <w:t>כלליות</w:t>
      </w:r>
      <w:r w:rsidRPr="00696553">
        <w:rPr>
          <w:sz w:val="24"/>
          <w:szCs w:val="24"/>
          <w:rtl/>
        </w:rPr>
        <w:t xml:space="preserve"> - בכל נושא ובכל סוגיה שהרב נריה עסק בהם, הוא התרומם אל המבט הכללי.  גם כאשר הוא נשא ונתן בפלפולה של תורה, הוא חתר אל העיקרון הכללי - המופשט והיסודי.  אל הכלליות נקל לעלות בנושאים אמוניים, אבל הרב התנשא אליה גם בנושאים הלכתיים ולמדניים. זו אחת מתכונותיה של תורת א"י!</w:t>
      </w:r>
    </w:p>
    <w:p w14:paraId="6FF7FD92" w14:textId="77777777" w:rsidR="00664319" w:rsidRPr="00696553" w:rsidRDefault="00664319" w:rsidP="00664319">
      <w:pPr>
        <w:rPr>
          <w:sz w:val="24"/>
          <w:szCs w:val="24"/>
          <w:rtl/>
        </w:rPr>
      </w:pPr>
    </w:p>
    <w:p w14:paraId="17C7BA5C" w14:textId="4D0E156A" w:rsidR="00664319" w:rsidRPr="00696553" w:rsidRDefault="00664319" w:rsidP="00664319">
      <w:pPr>
        <w:rPr>
          <w:sz w:val="24"/>
          <w:szCs w:val="24"/>
          <w:rtl/>
        </w:rPr>
      </w:pPr>
      <w:r w:rsidRPr="00696553">
        <w:rPr>
          <w:sz w:val="24"/>
          <w:szCs w:val="24"/>
          <w:rtl/>
        </w:rPr>
        <w:lastRenderedPageBreak/>
        <w:t xml:space="preserve">ב. </w:t>
      </w:r>
      <w:r w:rsidRPr="00CB617E">
        <w:rPr>
          <w:b/>
          <w:bCs/>
          <w:sz w:val="24"/>
          <w:szCs w:val="24"/>
          <w:rtl/>
        </w:rPr>
        <w:t>אחדות ההלכה והאגדה</w:t>
      </w:r>
      <w:r w:rsidRPr="00696553">
        <w:rPr>
          <w:sz w:val="24"/>
          <w:szCs w:val="24"/>
          <w:rtl/>
        </w:rPr>
        <w:t xml:space="preserve"> - בתחום זה חולל הרב פלאים.  ידועים דברי מרן </w:t>
      </w:r>
      <w:proofErr w:type="spellStart"/>
      <w:r w:rsidRPr="00696553">
        <w:rPr>
          <w:sz w:val="24"/>
          <w:szCs w:val="24"/>
          <w:rtl/>
        </w:rPr>
        <w:t>הראי"ה</w:t>
      </w:r>
      <w:proofErr w:type="spellEnd"/>
      <w:r w:rsidRPr="00696553">
        <w:rPr>
          <w:sz w:val="24"/>
          <w:szCs w:val="24"/>
          <w:rtl/>
        </w:rPr>
        <w:t xml:space="preserve"> קוק זצ"ל על אחדות ההלכה והאגדה כמאפיינת את תורתה של ארץ ישראל   (חביבים היו על </w:t>
      </w:r>
      <w:proofErr w:type="spellStart"/>
      <w:r w:rsidRPr="00696553">
        <w:rPr>
          <w:sz w:val="24"/>
          <w:szCs w:val="24"/>
          <w:rtl/>
        </w:rPr>
        <w:t>הרמ"צ</w:t>
      </w:r>
      <w:proofErr w:type="spellEnd"/>
      <w:r w:rsidRPr="00696553">
        <w:rPr>
          <w:sz w:val="24"/>
          <w:szCs w:val="24"/>
          <w:rtl/>
        </w:rPr>
        <w:t xml:space="preserve"> נריה דברי </w:t>
      </w:r>
      <w:proofErr w:type="spellStart"/>
      <w:r w:rsidRPr="00696553">
        <w:rPr>
          <w:sz w:val="24"/>
          <w:szCs w:val="24"/>
          <w:rtl/>
        </w:rPr>
        <w:t>הגרש"י</w:t>
      </w:r>
      <w:proofErr w:type="spellEnd"/>
      <w:r w:rsidRPr="00696553">
        <w:rPr>
          <w:sz w:val="24"/>
          <w:szCs w:val="24"/>
          <w:rtl/>
        </w:rPr>
        <w:t xml:space="preserve"> </w:t>
      </w:r>
      <w:proofErr w:type="spellStart"/>
      <w:r w:rsidRPr="00696553">
        <w:rPr>
          <w:sz w:val="24"/>
          <w:szCs w:val="24"/>
          <w:rtl/>
        </w:rPr>
        <w:t>זוין</w:t>
      </w:r>
      <w:proofErr w:type="spellEnd"/>
      <w:r w:rsidRPr="00696553">
        <w:rPr>
          <w:sz w:val="24"/>
          <w:szCs w:val="24"/>
          <w:rtl/>
        </w:rPr>
        <w:t xml:space="preserve"> שהגדיר את הרב זצ"ל "כיחיד בדורנו שהיה שליט בהלכה ובאגדה", ומשום כך העתיק אותם יותר מפעם אחת בספריו. עיין "חיי הראיה" עמ' </w:t>
      </w:r>
      <w:proofErr w:type="spellStart"/>
      <w:r w:rsidRPr="00696553">
        <w:rPr>
          <w:sz w:val="24"/>
          <w:szCs w:val="24"/>
          <w:rtl/>
        </w:rPr>
        <w:t>רעט</w:t>
      </w:r>
      <w:proofErr w:type="spellEnd"/>
      <w:r w:rsidRPr="00696553">
        <w:rPr>
          <w:sz w:val="24"/>
          <w:szCs w:val="24"/>
          <w:rtl/>
        </w:rPr>
        <w:t xml:space="preserve"> ו-"מועדי </w:t>
      </w:r>
      <w:proofErr w:type="spellStart"/>
      <w:r w:rsidRPr="00696553">
        <w:rPr>
          <w:sz w:val="24"/>
          <w:szCs w:val="24"/>
          <w:rtl/>
        </w:rPr>
        <w:t>הראי"ה</w:t>
      </w:r>
      <w:proofErr w:type="spellEnd"/>
      <w:r w:rsidRPr="00696553">
        <w:rPr>
          <w:sz w:val="24"/>
          <w:szCs w:val="24"/>
          <w:rtl/>
        </w:rPr>
        <w:t xml:space="preserve">" עמ' </w:t>
      </w:r>
      <w:proofErr w:type="spellStart"/>
      <w:r w:rsidRPr="00696553">
        <w:rPr>
          <w:sz w:val="24"/>
          <w:szCs w:val="24"/>
          <w:rtl/>
        </w:rPr>
        <w:t>תקעב</w:t>
      </w:r>
      <w:proofErr w:type="spellEnd"/>
      <w:r w:rsidRPr="00696553">
        <w:rPr>
          <w:sz w:val="24"/>
          <w:szCs w:val="24"/>
          <w:rtl/>
        </w:rPr>
        <w:t xml:space="preserve">).  אבל במעבר מהלכה לאגדה אורבת הסכנה של "ליוצא ולבא אין שלום - זה היוצא מתלמוד לתלמוד". הפער בין העולמות מחייב לעיתים דילוג, קפיצה </w:t>
      </w:r>
      <w:r w:rsidR="00CB617E" w:rsidRPr="00696553">
        <w:rPr>
          <w:rFonts w:hint="cs"/>
          <w:sz w:val="24"/>
          <w:szCs w:val="24"/>
          <w:rtl/>
        </w:rPr>
        <w:t>מסוכנת</w:t>
      </w:r>
      <w:r w:rsidRPr="00696553">
        <w:rPr>
          <w:sz w:val="24"/>
          <w:szCs w:val="24"/>
          <w:rtl/>
        </w:rPr>
        <w:t xml:space="preserve">.  אולם אצל </w:t>
      </w:r>
      <w:proofErr w:type="spellStart"/>
      <w:r w:rsidRPr="00696553">
        <w:rPr>
          <w:sz w:val="24"/>
          <w:szCs w:val="24"/>
          <w:rtl/>
        </w:rPr>
        <w:t>הרמ"צ</w:t>
      </w:r>
      <w:proofErr w:type="spellEnd"/>
      <w:r w:rsidRPr="00696553">
        <w:rPr>
          <w:sz w:val="24"/>
          <w:szCs w:val="24"/>
          <w:rtl/>
        </w:rPr>
        <w:t xml:space="preserve"> נריה ישנו מעבר רציף מהלכה לאגדה וחוזר חלילה, נוצר חיבור אמיתי וישר, מתפתחת זיקה טבעית ביניהן.  לא הוציא הרב מתחת ידו מאמר שאין יסודותיו מושתתים על שני העולמות.  לדוגמה, במאמרו "ברית ראשונים" ("צניף מלוכה" עמ' 51) מברר הרב שהערבות בנוייה על יסוד אחדות האומה.  הוכחות לכך הוא מביא  מהמהר"ל, מחידושי </w:t>
      </w:r>
      <w:proofErr w:type="spellStart"/>
      <w:r w:rsidRPr="00696553">
        <w:rPr>
          <w:sz w:val="24"/>
          <w:szCs w:val="24"/>
          <w:rtl/>
        </w:rPr>
        <w:t>הריטב"א</w:t>
      </w:r>
      <w:proofErr w:type="spellEnd"/>
      <w:r w:rsidRPr="00696553">
        <w:rPr>
          <w:sz w:val="24"/>
          <w:szCs w:val="24"/>
          <w:rtl/>
        </w:rPr>
        <w:t xml:space="preserve">, </w:t>
      </w:r>
      <w:proofErr w:type="spellStart"/>
      <w:r w:rsidRPr="00696553">
        <w:rPr>
          <w:sz w:val="24"/>
          <w:szCs w:val="24"/>
          <w:rtl/>
        </w:rPr>
        <w:t>משו"ת</w:t>
      </w:r>
      <w:proofErr w:type="spellEnd"/>
      <w:r w:rsidRPr="00696553">
        <w:rPr>
          <w:sz w:val="24"/>
          <w:szCs w:val="24"/>
          <w:rtl/>
        </w:rPr>
        <w:t xml:space="preserve"> עין יצחק של ר' יצחק אלחנן, </w:t>
      </w:r>
      <w:proofErr w:type="spellStart"/>
      <w:r w:rsidRPr="00696553">
        <w:rPr>
          <w:sz w:val="24"/>
          <w:szCs w:val="24"/>
          <w:rtl/>
        </w:rPr>
        <w:t>מהרוגוצ'ובר</w:t>
      </w:r>
      <w:proofErr w:type="spellEnd"/>
      <w:r w:rsidRPr="00696553">
        <w:rPr>
          <w:sz w:val="24"/>
          <w:szCs w:val="24"/>
          <w:rtl/>
        </w:rPr>
        <w:t>, ממרן הרב זצ"ל</w:t>
      </w:r>
      <w:r w:rsidR="00CB617E">
        <w:rPr>
          <w:rFonts w:hint="cs"/>
          <w:sz w:val="24"/>
          <w:szCs w:val="24"/>
          <w:rtl/>
        </w:rPr>
        <w:t xml:space="preserve"> </w:t>
      </w:r>
      <w:proofErr w:type="spellStart"/>
      <w:r w:rsidR="00CB617E">
        <w:rPr>
          <w:rFonts w:hint="cs"/>
          <w:sz w:val="24"/>
          <w:szCs w:val="24"/>
          <w:rtl/>
        </w:rPr>
        <w:t>ו</w:t>
      </w:r>
      <w:r w:rsidRPr="00696553">
        <w:rPr>
          <w:sz w:val="24"/>
          <w:szCs w:val="24"/>
          <w:rtl/>
        </w:rPr>
        <w:t>מה"שם</w:t>
      </w:r>
      <w:proofErr w:type="spellEnd"/>
      <w:r w:rsidRPr="00696553">
        <w:rPr>
          <w:sz w:val="24"/>
          <w:szCs w:val="24"/>
          <w:rtl/>
        </w:rPr>
        <w:t xml:space="preserve"> משמואל".  בהמשך המאמר מוכיח הרב שקרבן פסח הוא ביסודו חובת הציבור והוא מסתייע </w:t>
      </w:r>
      <w:proofErr w:type="spellStart"/>
      <w:r w:rsidRPr="00696553">
        <w:rPr>
          <w:sz w:val="24"/>
          <w:szCs w:val="24"/>
          <w:rtl/>
        </w:rPr>
        <w:t>בנצי"ב</w:t>
      </w:r>
      <w:proofErr w:type="spellEnd"/>
      <w:r w:rsidRPr="00696553">
        <w:rPr>
          <w:sz w:val="24"/>
          <w:szCs w:val="24"/>
          <w:rtl/>
        </w:rPr>
        <w:t xml:space="preserve"> ב"העמק שאלה", בתשובה של ר' מנחם </w:t>
      </w:r>
      <w:proofErr w:type="spellStart"/>
      <w:r w:rsidRPr="00696553">
        <w:rPr>
          <w:sz w:val="24"/>
          <w:szCs w:val="24"/>
          <w:rtl/>
        </w:rPr>
        <w:t>זעמבא</w:t>
      </w:r>
      <w:proofErr w:type="spellEnd"/>
      <w:r w:rsidR="00CB617E">
        <w:rPr>
          <w:rFonts w:hint="cs"/>
          <w:sz w:val="24"/>
          <w:szCs w:val="24"/>
          <w:rtl/>
        </w:rPr>
        <w:t xml:space="preserve"> הי"ד</w:t>
      </w:r>
      <w:r w:rsidRPr="00696553">
        <w:rPr>
          <w:sz w:val="24"/>
          <w:szCs w:val="24"/>
          <w:rtl/>
        </w:rPr>
        <w:t xml:space="preserve"> בספרו "זרע אברהם", בדברי מרן הרב זצ"ל ב"עולת ראיה" ובדברי הרב אהרון כהן בספרו על התורה.</w:t>
      </w:r>
    </w:p>
    <w:p w14:paraId="644519AF" w14:textId="77777777" w:rsidR="00664319" w:rsidRPr="00696553" w:rsidRDefault="00664319" w:rsidP="00664319">
      <w:pPr>
        <w:rPr>
          <w:sz w:val="24"/>
          <w:szCs w:val="24"/>
          <w:rtl/>
        </w:rPr>
      </w:pPr>
    </w:p>
    <w:p w14:paraId="49F74C9A" w14:textId="77B227F3" w:rsidR="00664319" w:rsidRPr="00696553" w:rsidRDefault="00664319" w:rsidP="00664319">
      <w:pPr>
        <w:rPr>
          <w:sz w:val="24"/>
          <w:szCs w:val="24"/>
          <w:rtl/>
        </w:rPr>
      </w:pPr>
      <w:r w:rsidRPr="00696553">
        <w:rPr>
          <w:sz w:val="24"/>
          <w:szCs w:val="24"/>
          <w:rtl/>
        </w:rPr>
        <w:t xml:space="preserve">ג. </w:t>
      </w:r>
      <w:r w:rsidRPr="006D0AA2">
        <w:rPr>
          <w:b/>
          <w:bCs/>
          <w:sz w:val="24"/>
          <w:szCs w:val="24"/>
          <w:rtl/>
        </w:rPr>
        <w:t>בקיאות יוצרת</w:t>
      </w:r>
      <w:r w:rsidRPr="00696553">
        <w:rPr>
          <w:sz w:val="24"/>
          <w:szCs w:val="24"/>
          <w:rtl/>
        </w:rPr>
        <w:t xml:space="preserve"> - בקיאותו של הרב בכל מכמני התורה היא ממש מפליאה.  הרב היה מפורסם כבעל זכרון מופלג, אבל ההיקף העצום של ידיעותיו בתורה אשר מתגלה במאמריו עשוי להדהים כל בן תורה.  כל רז לא אניס ליה - ראשונים, אחרונים, </w:t>
      </w:r>
      <w:proofErr w:type="spellStart"/>
      <w:r w:rsidRPr="00696553">
        <w:rPr>
          <w:sz w:val="24"/>
          <w:szCs w:val="24"/>
          <w:rtl/>
        </w:rPr>
        <w:t>שות"ים</w:t>
      </w:r>
      <w:proofErr w:type="spellEnd"/>
      <w:r w:rsidRPr="00696553">
        <w:rPr>
          <w:sz w:val="24"/>
          <w:szCs w:val="24"/>
          <w:rtl/>
        </w:rPr>
        <w:t xml:space="preserve">, חסידות, קבלה, "תורות" </w:t>
      </w:r>
      <w:proofErr w:type="spellStart"/>
      <w:r w:rsidRPr="00696553">
        <w:rPr>
          <w:sz w:val="24"/>
          <w:szCs w:val="24"/>
          <w:rtl/>
        </w:rPr>
        <w:t>ישיבתיות</w:t>
      </w:r>
      <w:proofErr w:type="spellEnd"/>
      <w:r w:rsidRPr="00696553">
        <w:rPr>
          <w:sz w:val="24"/>
          <w:szCs w:val="24"/>
          <w:rtl/>
        </w:rPr>
        <w:t xml:space="preserve"> וחידושי חכמי ירושלים.  הנה, בימינו, דור האנציקלופדיות והקונקורדנציות,  ודור תוכנות החיפוש באמצעות מחשב, יש הנוטים להפחית בערכה של הבקיאות.  במה דברים אמורים?  בבקיאות השטחית, המגבבת שיטות, "</w:t>
      </w:r>
      <w:proofErr w:type="spellStart"/>
      <w:r w:rsidRPr="00696553">
        <w:rPr>
          <w:sz w:val="24"/>
          <w:szCs w:val="24"/>
          <w:rtl/>
        </w:rPr>
        <w:t>דאזיל</w:t>
      </w:r>
      <w:proofErr w:type="spellEnd"/>
      <w:r w:rsidRPr="00696553">
        <w:rPr>
          <w:sz w:val="24"/>
          <w:szCs w:val="24"/>
          <w:rtl/>
        </w:rPr>
        <w:t xml:space="preserve"> כי </w:t>
      </w:r>
      <w:proofErr w:type="spellStart"/>
      <w:r w:rsidRPr="00696553">
        <w:rPr>
          <w:sz w:val="24"/>
          <w:szCs w:val="24"/>
          <w:rtl/>
        </w:rPr>
        <w:t>רוכלא</w:t>
      </w:r>
      <w:proofErr w:type="spellEnd"/>
      <w:r w:rsidRPr="00696553">
        <w:rPr>
          <w:sz w:val="24"/>
          <w:szCs w:val="24"/>
          <w:rtl/>
        </w:rPr>
        <w:t xml:space="preserve">", אבל בקיאותו של הרב </w:t>
      </w:r>
      <w:r w:rsidR="006D0AA2" w:rsidRPr="00696553">
        <w:rPr>
          <w:rFonts w:hint="cs"/>
          <w:sz w:val="24"/>
          <w:szCs w:val="24"/>
          <w:rtl/>
        </w:rPr>
        <w:t>היית</w:t>
      </w:r>
      <w:r w:rsidR="006D0AA2" w:rsidRPr="00696553">
        <w:rPr>
          <w:rFonts w:hint="eastAsia"/>
          <w:sz w:val="24"/>
          <w:szCs w:val="24"/>
          <w:rtl/>
        </w:rPr>
        <w:t>ה</w:t>
      </w:r>
      <w:r w:rsidRPr="00696553">
        <w:rPr>
          <w:sz w:val="24"/>
          <w:szCs w:val="24"/>
          <w:rtl/>
        </w:rPr>
        <w:t xml:space="preserve"> בקיאות יוצרת.  הוא מעלה פניני תורה נשכחות וחורז אותן יחד, מלקט שביבים קטנים ומעלה מהם אור גדול, אוסף מובאות חבויות ורמזי חידושים, ומצרף אותם יחד לכלל גדול ורחב.  לפעמים, הרב מתחבא בענווה יתירה מאחורי הציטטות המרובות, אבל לאמיתו של דבר הוא הוא הגאון המחדש אשר העניק להן את רוחן החיה. אין זו מלאכת ליקוט ואיסוף גרידא אלא חכמה יוצרת. לדוגמה, מאמרו "קהל גרים" על מהותה של הגירות מבוסס על מאות מובאות </w:t>
      </w:r>
      <w:proofErr w:type="spellStart"/>
      <w:r w:rsidRPr="00696553">
        <w:rPr>
          <w:sz w:val="24"/>
          <w:szCs w:val="24"/>
          <w:rtl/>
        </w:rPr>
        <w:t>מקדמאי</w:t>
      </w:r>
      <w:proofErr w:type="spellEnd"/>
      <w:r w:rsidRPr="00696553">
        <w:rPr>
          <w:sz w:val="24"/>
          <w:szCs w:val="24"/>
          <w:rtl/>
        </w:rPr>
        <w:t xml:space="preserve"> </w:t>
      </w:r>
      <w:proofErr w:type="spellStart"/>
      <w:r w:rsidRPr="00696553">
        <w:rPr>
          <w:sz w:val="24"/>
          <w:szCs w:val="24"/>
          <w:rtl/>
        </w:rPr>
        <w:t>ומבתראי</w:t>
      </w:r>
      <w:proofErr w:type="spellEnd"/>
      <w:r w:rsidRPr="00696553">
        <w:rPr>
          <w:sz w:val="24"/>
          <w:szCs w:val="24"/>
          <w:rtl/>
        </w:rPr>
        <w:t>, אבל הרוח הנושבת בהם חדשה לגמרי.</w:t>
      </w:r>
    </w:p>
    <w:p w14:paraId="2F429DB7" w14:textId="77777777" w:rsidR="00664319" w:rsidRPr="00696553" w:rsidRDefault="00664319" w:rsidP="00664319">
      <w:pPr>
        <w:rPr>
          <w:sz w:val="24"/>
          <w:szCs w:val="24"/>
          <w:rtl/>
        </w:rPr>
      </w:pPr>
    </w:p>
    <w:p w14:paraId="29A9534B" w14:textId="77777777" w:rsidR="00664319" w:rsidRPr="00696553" w:rsidRDefault="00664319" w:rsidP="00664319">
      <w:pPr>
        <w:rPr>
          <w:sz w:val="24"/>
          <w:szCs w:val="24"/>
          <w:rtl/>
        </w:rPr>
      </w:pPr>
      <w:r w:rsidRPr="00696553">
        <w:rPr>
          <w:sz w:val="24"/>
          <w:szCs w:val="24"/>
          <w:rtl/>
        </w:rPr>
        <w:t xml:space="preserve">ד. </w:t>
      </w:r>
      <w:r w:rsidRPr="006D0AA2">
        <w:rPr>
          <w:b/>
          <w:bCs/>
          <w:sz w:val="24"/>
          <w:szCs w:val="24"/>
          <w:rtl/>
        </w:rPr>
        <w:t>בהירות ונועם</w:t>
      </w:r>
      <w:r w:rsidRPr="00696553">
        <w:rPr>
          <w:sz w:val="24"/>
          <w:szCs w:val="24"/>
          <w:rtl/>
        </w:rPr>
        <w:t xml:space="preserve"> - חכמי ארץ ישראל מנעימים זה לזה בהלכה.  יש ספרים שהקורא בהם צריך להתייגע כדי לשאוב מהם חידוש כלשהו.  הקורא מיטלטל בין שאלה לתשובה, בין קושיא לתירוץ ומעלה חרס בידו.  אבל חידושיו ומאמריו של הרב מאירי פנים הם למי שלומד בהם (כשם ששיעוריו היו קולעים ושוטפים). נעימים הם. בהירים הם. גם תלמיד ותיק וגם בר בי רב </w:t>
      </w:r>
      <w:proofErr w:type="spellStart"/>
      <w:r w:rsidRPr="00696553">
        <w:rPr>
          <w:sz w:val="24"/>
          <w:szCs w:val="24"/>
          <w:rtl/>
        </w:rPr>
        <w:t>דחד</w:t>
      </w:r>
      <w:proofErr w:type="spellEnd"/>
      <w:r w:rsidRPr="00696553">
        <w:rPr>
          <w:sz w:val="24"/>
          <w:szCs w:val="24"/>
          <w:rtl/>
        </w:rPr>
        <w:t xml:space="preserve"> יומא אשר יעיינו בהם יצאו ברכוש גדול, של חידושים, של השגות רוחניות. נפתחים בהם שערים רחבים אל יסודות התורה.</w:t>
      </w:r>
    </w:p>
    <w:p w14:paraId="5FED279B" w14:textId="77777777" w:rsidR="00664319" w:rsidRPr="00696553" w:rsidRDefault="00664319" w:rsidP="00664319">
      <w:pPr>
        <w:rPr>
          <w:sz w:val="24"/>
          <w:szCs w:val="24"/>
          <w:rtl/>
        </w:rPr>
      </w:pPr>
    </w:p>
    <w:p w14:paraId="28154A77" w14:textId="08B3993B" w:rsidR="00664319" w:rsidRPr="00696553" w:rsidRDefault="00664319" w:rsidP="00664319">
      <w:pPr>
        <w:rPr>
          <w:sz w:val="24"/>
          <w:szCs w:val="24"/>
          <w:rtl/>
        </w:rPr>
      </w:pPr>
      <w:r w:rsidRPr="00696553">
        <w:rPr>
          <w:sz w:val="24"/>
          <w:szCs w:val="24"/>
          <w:rtl/>
        </w:rPr>
        <w:t xml:space="preserve">ה. </w:t>
      </w:r>
      <w:r w:rsidRPr="006D0AA2">
        <w:rPr>
          <w:b/>
          <w:bCs/>
          <w:sz w:val="24"/>
          <w:szCs w:val="24"/>
          <w:rtl/>
        </w:rPr>
        <w:t>העמקה</w:t>
      </w:r>
      <w:r w:rsidRPr="00696553">
        <w:rPr>
          <w:sz w:val="24"/>
          <w:szCs w:val="24"/>
          <w:rtl/>
        </w:rPr>
        <w:t xml:space="preserve"> - מנינו ארבע קווים </w:t>
      </w:r>
      <w:proofErr w:type="spellStart"/>
      <w:r w:rsidRPr="00696553">
        <w:rPr>
          <w:sz w:val="24"/>
          <w:szCs w:val="24"/>
          <w:rtl/>
        </w:rPr>
        <w:t>אופיינים</w:t>
      </w:r>
      <w:proofErr w:type="spellEnd"/>
      <w:r w:rsidRPr="00696553">
        <w:rPr>
          <w:sz w:val="24"/>
          <w:szCs w:val="24"/>
          <w:rtl/>
        </w:rPr>
        <w:t xml:space="preserve"> לדרכו - כלליות, אחדות ההלכה והאגדה, בקיאות יוצרת, בהירות - לשם השגתם דרושה העמקה גדולה, מפני  שכלליות עלולה להתחלף בסיסמאות נבובות ובהפשטות מדומות, אחדות ההלכה והאגדה עלולה להביא לערבוביה מסוכנת, ובקיאות - לשטחיות. אבל הרב נריה זצ"ל התברך בכישרון העמקה, ביכולת ניתוח מדוקדקת, בחדירה פנימית לשורשי הסברות כיאה לגאון תורני אמיתי. סוגיות קשות וסבוכות מוגשות על ידו מתוך גישה למדנית </w:t>
      </w:r>
      <w:proofErr w:type="spellStart"/>
      <w:r w:rsidRPr="00696553">
        <w:rPr>
          <w:sz w:val="24"/>
          <w:szCs w:val="24"/>
          <w:rtl/>
        </w:rPr>
        <w:t>ישיבתית</w:t>
      </w:r>
      <w:proofErr w:type="spellEnd"/>
      <w:r w:rsidRPr="00696553">
        <w:rPr>
          <w:sz w:val="24"/>
          <w:szCs w:val="24"/>
          <w:rtl/>
        </w:rPr>
        <w:t xml:space="preserve"> מובהקת. </w:t>
      </w:r>
    </w:p>
    <w:p w14:paraId="53D672F3" w14:textId="77777777" w:rsidR="00664319" w:rsidRPr="00696553" w:rsidRDefault="00664319" w:rsidP="00664319">
      <w:pPr>
        <w:rPr>
          <w:sz w:val="24"/>
          <w:szCs w:val="24"/>
          <w:rtl/>
        </w:rPr>
      </w:pPr>
    </w:p>
    <w:p w14:paraId="6504A533" w14:textId="39F6B706" w:rsidR="00664319" w:rsidRPr="00696553" w:rsidRDefault="00664319" w:rsidP="00664319">
      <w:pPr>
        <w:rPr>
          <w:sz w:val="24"/>
          <w:szCs w:val="24"/>
          <w:rtl/>
        </w:rPr>
      </w:pPr>
      <w:r w:rsidRPr="00696553">
        <w:rPr>
          <w:sz w:val="24"/>
          <w:szCs w:val="24"/>
          <w:rtl/>
        </w:rPr>
        <w:t xml:space="preserve">לדוגמה, במאמרו  "כפייה ורצון בקיום מצוות" ("ענבי פתחיה" עמ' 169), דן במחלוקת בין ה"קצות" לבין ה"נתיבות", האם הכפייה על מצוות עשה מסורה לכל אחד מישראל או לבי"ד בלבד. וחידש שאליבא </w:t>
      </w:r>
      <w:proofErr w:type="spellStart"/>
      <w:r w:rsidRPr="00696553">
        <w:rPr>
          <w:sz w:val="24"/>
          <w:szCs w:val="24"/>
          <w:rtl/>
        </w:rPr>
        <w:t>דה"קצות</w:t>
      </w:r>
      <w:proofErr w:type="spellEnd"/>
      <w:r w:rsidRPr="00696553">
        <w:rPr>
          <w:sz w:val="24"/>
          <w:szCs w:val="24"/>
          <w:rtl/>
        </w:rPr>
        <w:t xml:space="preserve">", הצורך בבי"ד אינו נובע מעצם מעשה הכפייה, שאם כן מדוע </w:t>
      </w:r>
      <w:proofErr w:type="spellStart"/>
      <w:r w:rsidRPr="00696553">
        <w:rPr>
          <w:sz w:val="24"/>
          <w:szCs w:val="24"/>
          <w:rtl/>
        </w:rPr>
        <w:t>הכח</w:t>
      </w:r>
      <w:proofErr w:type="spellEnd"/>
      <w:r w:rsidRPr="00696553">
        <w:rPr>
          <w:sz w:val="24"/>
          <w:szCs w:val="24"/>
          <w:rtl/>
        </w:rPr>
        <w:t xml:space="preserve"> </w:t>
      </w:r>
      <w:proofErr w:type="spellStart"/>
      <w:r w:rsidRPr="00696553">
        <w:rPr>
          <w:sz w:val="24"/>
          <w:szCs w:val="24"/>
          <w:rtl/>
        </w:rPr>
        <w:t>לאפרושי</w:t>
      </w:r>
      <w:proofErr w:type="spellEnd"/>
      <w:r w:rsidRPr="00696553">
        <w:rPr>
          <w:sz w:val="24"/>
          <w:szCs w:val="24"/>
          <w:rtl/>
        </w:rPr>
        <w:t xml:space="preserve"> </w:t>
      </w:r>
      <w:proofErr w:type="spellStart"/>
      <w:r w:rsidRPr="00696553">
        <w:rPr>
          <w:sz w:val="24"/>
          <w:szCs w:val="24"/>
          <w:rtl/>
        </w:rPr>
        <w:lastRenderedPageBreak/>
        <w:t>מאיסורא</w:t>
      </w:r>
      <w:proofErr w:type="spellEnd"/>
      <w:r w:rsidRPr="00696553">
        <w:rPr>
          <w:sz w:val="24"/>
          <w:szCs w:val="24"/>
          <w:rtl/>
        </w:rPr>
        <w:t xml:space="preserve"> מסור לכל אדם, אלא "הטעם נעוץ במטרת הכפייה והשגת התוצאות הרצויות בנפשו של הכפוי". באיסורים, העיקר היא המניעה, לכן על כל אדם </w:t>
      </w:r>
      <w:proofErr w:type="spellStart"/>
      <w:r w:rsidRPr="00696553">
        <w:rPr>
          <w:sz w:val="24"/>
          <w:szCs w:val="24"/>
          <w:rtl/>
        </w:rPr>
        <w:t>לאפרושי</w:t>
      </w:r>
      <w:proofErr w:type="spellEnd"/>
      <w:r w:rsidRPr="00696553">
        <w:rPr>
          <w:sz w:val="24"/>
          <w:szCs w:val="24"/>
          <w:rtl/>
        </w:rPr>
        <w:t xml:space="preserve"> </w:t>
      </w:r>
      <w:proofErr w:type="spellStart"/>
      <w:r w:rsidRPr="00696553">
        <w:rPr>
          <w:sz w:val="24"/>
          <w:szCs w:val="24"/>
          <w:rtl/>
        </w:rPr>
        <w:t>מאיסורא</w:t>
      </w:r>
      <w:proofErr w:type="spellEnd"/>
      <w:r w:rsidRPr="00696553">
        <w:rPr>
          <w:sz w:val="24"/>
          <w:szCs w:val="24"/>
          <w:rtl/>
        </w:rPr>
        <w:t xml:space="preserve">, אבל במצוות עשה דרושה כוונה והזדהות, לכן על בית הדין בלבד הוטל לכפות על </w:t>
      </w:r>
      <w:r w:rsidR="00705712">
        <w:rPr>
          <w:rFonts w:hint="cs"/>
          <w:sz w:val="24"/>
          <w:szCs w:val="24"/>
          <w:rtl/>
        </w:rPr>
        <w:t>מצוות עשה</w:t>
      </w:r>
      <w:r w:rsidRPr="00696553">
        <w:rPr>
          <w:sz w:val="24"/>
          <w:szCs w:val="24"/>
          <w:rtl/>
        </w:rPr>
        <w:t xml:space="preserve">. הרב נסתייע בדברי ה"אור שמח" </w:t>
      </w:r>
      <w:proofErr w:type="spellStart"/>
      <w:r w:rsidRPr="00696553">
        <w:rPr>
          <w:sz w:val="24"/>
          <w:szCs w:val="24"/>
          <w:rtl/>
        </w:rPr>
        <w:t>וה"אמרי</w:t>
      </w:r>
      <w:proofErr w:type="spellEnd"/>
      <w:r w:rsidRPr="00696553">
        <w:rPr>
          <w:sz w:val="24"/>
          <w:szCs w:val="24"/>
          <w:rtl/>
        </w:rPr>
        <w:t xml:space="preserve"> בינה" וגם המהר"ל(!). </w:t>
      </w:r>
    </w:p>
    <w:p w14:paraId="7E4275F5" w14:textId="77777777" w:rsidR="00664319" w:rsidRPr="00696553" w:rsidRDefault="00664319" w:rsidP="00664319">
      <w:pPr>
        <w:rPr>
          <w:sz w:val="24"/>
          <w:szCs w:val="24"/>
          <w:rtl/>
        </w:rPr>
      </w:pPr>
    </w:p>
    <w:p w14:paraId="56B42F70" w14:textId="25219099" w:rsidR="00664319" w:rsidRPr="00696553" w:rsidRDefault="00664319" w:rsidP="00664319">
      <w:pPr>
        <w:rPr>
          <w:sz w:val="24"/>
          <w:szCs w:val="24"/>
          <w:rtl/>
        </w:rPr>
      </w:pPr>
      <w:r w:rsidRPr="00696553">
        <w:rPr>
          <w:sz w:val="24"/>
          <w:szCs w:val="24"/>
          <w:rtl/>
        </w:rPr>
        <w:t xml:space="preserve">בירור עמוק בנושא ברית המילה נתפרסם ב"ענבי פתחיה" (עמ' 278). יסודו בהבחנה בין מצוות המילה לבין ברית המילה. הרב נריה מוכיח מתשובות הרמב"ם שנכרי יכול אף הוא לקיים את מצוות מילה, ומסביר בכך הלכה תמוהה ברמב"ם </w:t>
      </w:r>
      <w:proofErr w:type="spellStart"/>
      <w:r w:rsidRPr="00696553">
        <w:rPr>
          <w:sz w:val="24"/>
          <w:szCs w:val="24"/>
          <w:rtl/>
        </w:rPr>
        <w:t>שה"כסף</w:t>
      </w:r>
      <w:proofErr w:type="spellEnd"/>
      <w:r w:rsidRPr="00696553">
        <w:rPr>
          <w:sz w:val="24"/>
          <w:szCs w:val="24"/>
          <w:rtl/>
        </w:rPr>
        <w:t xml:space="preserve"> משנה" התקשה בה. הרמב"ם פסק שאסור לישראל למול עכו"ם אשר "לא נתכוון למצווה", אבל "אם נתכוון </w:t>
      </w:r>
      <w:proofErr w:type="spellStart"/>
      <w:r w:rsidRPr="00696553">
        <w:rPr>
          <w:sz w:val="24"/>
          <w:szCs w:val="24"/>
          <w:rtl/>
        </w:rPr>
        <w:t>העכו"ם</w:t>
      </w:r>
      <w:proofErr w:type="spellEnd"/>
      <w:r w:rsidRPr="00696553">
        <w:rPr>
          <w:sz w:val="24"/>
          <w:szCs w:val="24"/>
          <w:rtl/>
        </w:rPr>
        <w:t xml:space="preserve"> למילה, מותר לישראל למול אותו". פירש </w:t>
      </w:r>
      <w:proofErr w:type="spellStart"/>
      <w:r w:rsidRPr="00696553">
        <w:rPr>
          <w:sz w:val="24"/>
          <w:szCs w:val="24"/>
          <w:rtl/>
        </w:rPr>
        <w:t>הכס"מ</w:t>
      </w:r>
      <w:proofErr w:type="spellEnd"/>
      <w:r w:rsidRPr="00696553">
        <w:rPr>
          <w:sz w:val="24"/>
          <w:szCs w:val="24"/>
          <w:rtl/>
        </w:rPr>
        <w:t xml:space="preserve"> - אם נתכוון </w:t>
      </w:r>
      <w:proofErr w:type="spellStart"/>
      <w:r w:rsidRPr="00696553">
        <w:rPr>
          <w:sz w:val="24"/>
          <w:szCs w:val="24"/>
          <w:rtl/>
        </w:rPr>
        <w:t>העכו"ם</w:t>
      </w:r>
      <w:proofErr w:type="spellEnd"/>
      <w:r w:rsidRPr="00696553">
        <w:rPr>
          <w:sz w:val="24"/>
          <w:szCs w:val="24"/>
          <w:rtl/>
        </w:rPr>
        <w:t xml:space="preserve"> למילה לשם גיור </w:t>
      </w:r>
      <w:proofErr w:type="spellStart"/>
      <w:r w:rsidRPr="00696553">
        <w:rPr>
          <w:sz w:val="24"/>
          <w:szCs w:val="24"/>
          <w:rtl/>
        </w:rPr>
        <w:t>דוקא</w:t>
      </w:r>
      <w:proofErr w:type="spellEnd"/>
      <w:r w:rsidRPr="00696553">
        <w:rPr>
          <w:sz w:val="24"/>
          <w:szCs w:val="24"/>
          <w:rtl/>
        </w:rPr>
        <w:t xml:space="preserve">, מותר </w:t>
      </w:r>
      <w:proofErr w:type="spellStart"/>
      <w:r w:rsidRPr="00696553">
        <w:rPr>
          <w:sz w:val="24"/>
          <w:szCs w:val="24"/>
          <w:rtl/>
        </w:rPr>
        <w:t>למולו</w:t>
      </w:r>
      <w:proofErr w:type="spellEnd"/>
      <w:r w:rsidRPr="00696553">
        <w:rPr>
          <w:sz w:val="24"/>
          <w:szCs w:val="24"/>
          <w:rtl/>
        </w:rPr>
        <w:t>. אבל לאור תשובת הרמב"ם, מתפרשת ההלכה כפשוטה: מותר למול כל נכרי הרוצה במילה לשם קיום מצוות מילה. מכאן שקיום המצווה איננו בהכרח חופף ל"ברית" הנובעת ממנ</w:t>
      </w:r>
      <w:r w:rsidR="00705712">
        <w:rPr>
          <w:rFonts w:hint="cs"/>
          <w:sz w:val="24"/>
          <w:szCs w:val="24"/>
          <w:rtl/>
        </w:rPr>
        <w:t>ה</w:t>
      </w:r>
      <w:r w:rsidRPr="00696553">
        <w:rPr>
          <w:sz w:val="24"/>
          <w:szCs w:val="24"/>
          <w:rtl/>
        </w:rPr>
        <w:t xml:space="preserve">, שהרי נכרי זה איננו כלול ב"ברית". הוסיף הרב נריה, שהרמב"ם לשיטתו שבני קטורה </w:t>
      </w:r>
      <w:proofErr w:type="spellStart"/>
      <w:r w:rsidRPr="00696553">
        <w:rPr>
          <w:sz w:val="24"/>
          <w:szCs w:val="24"/>
          <w:rtl/>
        </w:rPr>
        <w:t>נתחייבו</w:t>
      </w:r>
      <w:proofErr w:type="spellEnd"/>
      <w:r w:rsidRPr="00696553">
        <w:rPr>
          <w:sz w:val="24"/>
          <w:szCs w:val="24"/>
          <w:rtl/>
        </w:rPr>
        <w:t xml:space="preserve"> במילה לדורות למרות ש"אין להם קשר עם ברית הדורות של אברהם אבינו". ומכאן פשט הרב את </w:t>
      </w:r>
      <w:proofErr w:type="spellStart"/>
      <w:r w:rsidRPr="00696553">
        <w:rPr>
          <w:sz w:val="24"/>
          <w:szCs w:val="24"/>
          <w:rtl/>
        </w:rPr>
        <w:t>ספיקו</w:t>
      </w:r>
      <w:proofErr w:type="spellEnd"/>
      <w:r w:rsidRPr="00696553">
        <w:rPr>
          <w:sz w:val="24"/>
          <w:szCs w:val="24"/>
          <w:rtl/>
        </w:rPr>
        <w:t xml:space="preserve"> של ה"מנחת חינוך" האם בני קטורה נצטוו על מילת עבדיהם. משיב הרב על ידי חידוש תוך חידוש: מילת העבדים קשורה לצד הברית שבמילה, ומשום כך היא המצווה היחידה המעכבת באכילת קרבן פסח, שהוא קרבן הברית, אבל בני קטורה שאינם קשורים למהות הברית פטורים ממילת עבדיהם. הבחנה זו מעלה חקירה ביחס למילה בשבת: האם מעשה המצווה עצמו כוחו יפה לדחות את השבת או יסוד הברית שבמצווה? אליבא </w:t>
      </w:r>
      <w:proofErr w:type="spellStart"/>
      <w:r w:rsidRPr="00696553">
        <w:rPr>
          <w:sz w:val="24"/>
          <w:szCs w:val="24"/>
          <w:rtl/>
        </w:rPr>
        <w:t>דהרב</w:t>
      </w:r>
      <w:proofErr w:type="spellEnd"/>
      <w:r w:rsidRPr="00696553">
        <w:rPr>
          <w:sz w:val="24"/>
          <w:szCs w:val="24"/>
          <w:rtl/>
        </w:rPr>
        <w:t xml:space="preserve"> נריה זצ"ל יתכן שנחלקו בכך תנאים ואמוראים. הוא גם מציע נפקא מינה מענינת: האם מילת בן מומרים דוחה את השבת - מעשה מצווה יש כאן, אבל אין ב</w:t>
      </w:r>
      <w:r w:rsidR="007C0A2E">
        <w:rPr>
          <w:rFonts w:hint="cs"/>
          <w:sz w:val="24"/>
          <w:szCs w:val="24"/>
          <w:rtl/>
        </w:rPr>
        <w:t>ה</w:t>
      </w:r>
      <w:r w:rsidRPr="00696553">
        <w:rPr>
          <w:sz w:val="24"/>
          <w:szCs w:val="24"/>
          <w:rtl/>
        </w:rPr>
        <w:t xml:space="preserve"> כריתת ברית! נחלקו בשאלה זו </w:t>
      </w:r>
      <w:proofErr w:type="spellStart"/>
      <w:r w:rsidRPr="00696553">
        <w:rPr>
          <w:sz w:val="24"/>
          <w:szCs w:val="24"/>
          <w:rtl/>
        </w:rPr>
        <w:t>הב"י</w:t>
      </w:r>
      <w:proofErr w:type="spellEnd"/>
      <w:r w:rsidRPr="00696553">
        <w:rPr>
          <w:sz w:val="24"/>
          <w:szCs w:val="24"/>
          <w:rtl/>
        </w:rPr>
        <w:t xml:space="preserve"> </w:t>
      </w:r>
      <w:proofErr w:type="spellStart"/>
      <w:r w:rsidRPr="00696553">
        <w:rPr>
          <w:sz w:val="24"/>
          <w:szCs w:val="24"/>
          <w:rtl/>
        </w:rPr>
        <w:t>והפר"ח</w:t>
      </w:r>
      <w:proofErr w:type="spellEnd"/>
      <w:r w:rsidRPr="00696553">
        <w:rPr>
          <w:sz w:val="24"/>
          <w:szCs w:val="24"/>
          <w:rtl/>
        </w:rPr>
        <w:t xml:space="preserve"> עם </w:t>
      </w:r>
      <w:proofErr w:type="spellStart"/>
      <w:r w:rsidRPr="00696553">
        <w:rPr>
          <w:sz w:val="24"/>
          <w:szCs w:val="24"/>
          <w:rtl/>
        </w:rPr>
        <w:t>הש"ך</w:t>
      </w:r>
      <w:proofErr w:type="spellEnd"/>
      <w:r w:rsidRPr="00696553">
        <w:rPr>
          <w:sz w:val="24"/>
          <w:szCs w:val="24"/>
          <w:rtl/>
        </w:rPr>
        <w:t xml:space="preserve"> </w:t>
      </w:r>
      <w:proofErr w:type="spellStart"/>
      <w:r w:rsidRPr="00696553">
        <w:rPr>
          <w:sz w:val="24"/>
          <w:szCs w:val="24"/>
          <w:rtl/>
        </w:rPr>
        <w:t>והט"ז</w:t>
      </w:r>
      <w:proofErr w:type="spellEnd"/>
      <w:r w:rsidRPr="00696553">
        <w:rPr>
          <w:sz w:val="24"/>
          <w:szCs w:val="24"/>
          <w:rtl/>
        </w:rPr>
        <w:t xml:space="preserve">, אבל הרב נריה גילה לנו את שורש מחלוקתם (כדרכו הוא משלב מאמר של ה"שפת אמת" על התורה כדי לבסס את שיטת </w:t>
      </w:r>
      <w:proofErr w:type="spellStart"/>
      <w:r w:rsidRPr="00696553">
        <w:rPr>
          <w:sz w:val="24"/>
          <w:szCs w:val="24"/>
          <w:rtl/>
        </w:rPr>
        <w:t>הש"ך</w:t>
      </w:r>
      <w:proofErr w:type="spellEnd"/>
      <w:r w:rsidRPr="00696553">
        <w:rPr>
          <w:sz w:val="24"/>
          <w:szCs w:val="24"/>
          <w:rtl/>
        </w:rPr>
        <w:t xml:space="preserve"> </w:t>
      </w:r>
      <w:proofErr w:type="spellStart"/>
      <w:r w:rsidRPr="00696553">
        <w:rPr>
          <w:sz w:val="24"/>
          <w:szCs w:val="24"/>
          <w:rtl/>
        </w:rPr>
        <w:t>והמהר"ם</w:t>
      </w:r>
      <w:proofErr w:type="spellEnd"/>
      <w:r w:rsidRPr="00696553">
        <w:rPr>
          <w:sz w:val="24"/>
          <w:szCs w:val="24"/>
          <w:rtl/>
        </w:rPr>
        <w:t xml:space="preserve"> שיק!).</w:t>
      </w:r>
    </w:p>
    <w:p w14:paraId="598CCA35" w14:textId="77777777" w:rsidR="00664319" w:rsidRPr="00696553" w:rsidRDefault="00664319" w:rsidP="00664319">
      <w:pPr>
        <w:rPr>
          <w:sz w:val="24"/>
          <w:szCs w:val="24"/>
          <w:rtl/>
        </w:rPr>
      </w:pPr>
    </w:p>
    <w:p w14:paraId="09362A06" w14:textId="77777777" w:rsidR="00664319" w:rsidRPr="00696553" w:rsidRDefault="00664319" w:rsidP="00664319">
      <w:pPr>
        <w:rPr>
          <w:sz w:val="24"/>
          <w:szCs w:val="24"/>
          <w:rtl/>
        </w:rPr>
      </w:pPr>
      <w:r w:rsidRPr="00696553">
        <w:rPr>
          <w:sz w:val="24"/>
          <w:szCs w:val="24"/>
          <w:rtl/>
        </w:rPr>
        <w:t>נסיים בחידוש של הרב נריה הלקוח מספר "</w:t>
      </w:r>
      <w:proofErr w:type="spellStart"/>
      <w:r w:rsidRPr="00696553">
        <w:rPr>
          <w:sz w:val="24"/>
          <w:szCs w:val="24"/>
          <w:rtl/>
        </w:rPr>
        <w:t>ארחות</w:t>
      </w:r>
      <w:proofErr w:type="spellEnd"/>
      <w:r w:rsidRPr="00696553">
        <w:rPr>
          <w:sz w:val="24"/>
          <w:szCs w:val="24"/>
          <w:rtl/>
        </w:rPr>
        <w:t xml:space="preserve"> </w:t>
      </w:r>
      <w:proofErr w:type="spellStart"/>
      <w:r w:rsidRPr="00696553">
        <w:rPr>
          <w:sz w:val="24"/>
          <w:szCs w:val="24"/>
          <w:rtl/>
        </w:rPr>
        <w:t>פתחי'ה</w:t>
      </w:r>
      <w:proofErr w:type="spellEnd"/>
      <w:r w:rsidRPr="00696553">
        <w:rPr>
          <w:sz w:val="24"/>
          <w:szCs w:val="24"/>
          <w:rtl/>
        </w:rPr>
        <w:t xml:space="preserve">" שיצא לאור ימים ספורים לפני פטירתו. ה"חסד לאברהם" חידש שאדם שנתחייב בברכה דרבנן ואחר-כך בברכה דאורייתא, יקדים לברך את הברכה שהיא דאורייתא למרות שחיובה מאוחר, כיון שהיא מקודשת יותר. והקשה הרב פתחיה </w:t>
      </w:r>
      <w:proofErr w:type="spellStart"/>
      <w:r w:rsidRPr="00696553">
        <w:rPr>
          <w:sz w:val="24"/>
          <w:szCs w:val="24"/>
          <w:rtl/>
        </w:rPr>
        <w:t>מנקין</w:t>
      </w:r>
      <w:proofErr w:type="spellEnd"/>
      <w:r w:rsidRPr="00696553">
        <w:rPr>
          <w:sz w:val="24"/>
          <w:szCs w:val="24"/>
          <w:rtl/>
        </w:rPr>
        <w:t xml:space="preserve"> זצ"ל (אביו של הרב נריה) מדברי </w:t>
      </w:r>
      <w:proofErr w:type="spellStart"/>
      <w:r w:rsidRPr="00696553">
        <w:rPr>
          <w:sz w:val="24"/>
          <w:szCs w:val="24"/>
          <w:rtl/>
        </w:rPr>
        <w:t>הרש"ל</w:t>
      </w:r>
      <w:proofErr w:type="spellEnd"/>
      <w:r w:rsidRPr="00696553">
        <w:rPr>
          <w:sz w:val="24"/>
          <w:szCs w:val="24"/>
          <w:rtl/>
        </w:rPr>
        <w:t xml:space="preserve">, שאם אכל ולא בירך ברכה אחרונה ועשה צרכיו, יקדים את "ברכת אשר יצר" לברכה האחרונה - והרי ברכת המזון היא דאורייתא ו"מקודש" קודם!  חידש </w:t>
      </w:r>
      <w:proofErr w:type="spellStart"/>
      <w:r w:rsidRPr="00696553">
        <w:rPr>
          <w:sz w:val="24"/>
          <w:szCs w:val="24"/>
          <w:rtl/>
        </w:rPr>
        <w:t>הרמ"צ</w:t>
      </w:r>
      <w:proofErr w:type="spellEnd"/>
      <w:r w:rsidRPr="00696553">
        <w:rPr>
          <w:sz w:val="24"/>
          <w:szCs w:val="24"/>
          <w:rtl/>
        </w:rPr>
        <w:t xml:space="preserve"> נריה שעדיפות של "מקודש" קיימת רק במצוות ולא בברכות. כל הברכות שקולות - בין דאורייתא ובין דרבנן - "כיון שעיקר קדושת הברכה היא משום הזכרת שם שמים שבה" ובכל הברכות הזכרת שם ומלכות שווה.</w:t>
      </w:r>
    </w:p>
    <w:p w14:paraId="7DF6E8B1" w14:textId="77777777" w:rsidR="00664319" w:rsidRPr="00696553" w:rsidRDefault="00664319" w:rsidP="00664319">
      <w:pPr>
        <w:rPr>
          <w:sz w:val="24"/>
          <w:szCs w:val="24"/>
          <w:rtl/>
        </w:rPr>
      </w:pPr>
      <w:r w:rsidRPr="00696553">
        <w:rPr>
          <w:sz w:val="24"/>
          <w:szCs w:val="24"/>
          <w:rtl/>
        </w:rPr>
        <w:t xml:space="preserve">על סמך חידוש זה ביאר את סברת </w:t>
      </w:r>
      <w:proofErr w:type="spellStart"/>
      <w:r w:rsidRPr="00696553">
        <w:rPr>
          <w:sz w:val="24"/>
          <w:szCs w:val="24"/>
          <w:rtl/>
        </w:rPr>
        <w:t>הרש"ל</w:t>
      </w:r>
      <w:proofErr w:type="spellEnd"/>
      <w:r w:rsidRPr="00696553">
        <w:rPr>
          <w:sz w:val="24"/>
          <w:szCs w:val="24"/>
          <w:rtl/>
        </w:rPr>
        <w:t xml:space="preserve"> </w:t>
      </w:r>
      <w:proofErr w:type="spellStart"/>
      <w:r w:rsidRPr="00696553">
        <w:rPr>
          <w:sz w:val="24"/>
          <w:szCs w:val="24"/>
          <w:rtl/>
        </w:rPr>
        <w:t>שה"קצות</w:t>
      </w:r>
      <w:proofErr w:type="spellEnd"/>
      <w:r w:rsidRPr="00696553">
        <w:rPr>
          <w:sz w:val="24"/>
          <w:szCs w:val="24"/>
          <w:rtl/>
        </w:rPr>
        <w:t xml:space="preserve">" התקשה בהבנתה. </w:t>
      </w:r>
      <w:proofErr w:type="spellStart"/>
      <w:r w:rsidRPr="00696553">
        <w:rPr>
          <w:sz w:val="24"/>
          <w:szCs w:val="24"/>
          <w:rtl/>
        </w:rPr>
        <w:t>הרש"ל</w:t>
      </w:r>
      <w:proofErr w:type="spellEnd"/>
      <w:r w:rsidRPr="00696553">
        <w:rPr>
          <w:sz w:val="24"/>
          <w:szCs w:val="24"/>
          <w:rtl/>
        </w:rPr>
        <w:t xml:space="preserve"> פסק שהגוזל מצוה </w:t>
      </w:r>
      <w:proofErr w:type="spellStart"/>
      <w:r w:rsidRPr="00696553">
        <w:rPr>
          <w:sz w:val="24"/>
          <w:szCs w:val="24"/>
          <w:rtl/>
        </w:rPr>
        <w:t>מחבירו</w:t>
      </w:r>
      <w:proofErr w:type="spellEnd"/>
      <w:r w:rsidRPr="00696553">
        <w:rPr>
          <w:sz w:val="24"/>
          <w:szCs w:val="24"/>
          <w:rtl/>
        </w:rPr>
        <w:t xml:space="preserve"> נתחייב בתשלום רק במצוה דאורייתא, אבל במצוה דרבנן - פטור. והעיר ה"קצות" שגם לדברי </w:t>
      </w:r>
      <w:proofErr w:type="spellStart"/>
      <w:r w:rsidRPr="00696553">
        <w:rPr>
          <w:sz w:val="24"/>
          <w:szCs w:val="24"/>
          <w:rtl/>
        </w:rPr>
        <w:t>הרש"ל</w:t>
      </w:r>
      <w:proofErr w:type="spellEnd"/>
      <w:r w:rsidRPr="00696553">
        <w:rPr>
          <w:sz w:val="24"/>
          <w:szCs w:val="24"/>
          <w:rtl/>
        </w:rPr>
        <w:t xml:space="preserve">, הפטור הוא רק במצוה דרבנן, אבל בברכה דרבנן נתחייב בתשלום </w:t>
      </w:r>
      <w:proofErr w:type="spellStart"/>
      <w:r w:rsidRPr="00696553">
        <w:rPr>
          <w:sz w:val="24"/>
          <w:szCs w:val="24"/>
          <w:rtl/>
        </w:rPr>
        <w:t>כדמוכח</w:t>
      </w:r>
      <w:proofErr w:type="spellEnd"/>
      <w:r w:rsidRPr="00696553">
        <w:rPr>
          <w:sz w:val="24"/>
          <w:szCs w:val="24"/>
          <w:rtl/>
        </w:rPr>
        <w:t xml:space="preserve"> מברכת כיסוי הדם. והתקשה ה"קצות" בהבנת החילוק בין מצוה דרבנן לברכה דרבנן. לפי חידושו של </w:t>
      </w:r>
      <w:proofErr w:type="spellStart"/>
      <w:r w:rsidRPr="00696553">
        <w:rPr>
          <w:sz w:val="24"/>
          <w:szCs w:val="24"/>
          <w:rtl/>
        </w:rPr>
        <w:t>הרמ"צ</w:t>
      </w:r>
      <w:proofErr w:type="spellEnd"/>
      <w:r w:rsidRPr="00696553">
        <w:rPr>
          <w:sz w:val="24"/>
          <w:szCs w:val="24"/>
          <w:rtl/>
        </w:rPr>
        <w:t xml:space="preserve"> נריה, אין כל קושי. כל הברכות שקולות, בין שחיובן דאורייתא ובין שחיובן דרבנן, "שהצד הסגולי של הזכרת שם שמים כשם שהוא פועל בברכה דאורייתא כך הוא פועל בברכה דרבנן".</w:t>
      </w:r>
    </w:p>
    <w:p w14:paraId="0449B734" w14:textId="77777777" w:rsidR="00664319" w:rsidRPr="00696553" w:rsidRDefault="00664319" w:rsidP="00664319">
      <w:pPr>
        <w:rPr>
          <w:sz w:val="24"/>
          <w:szCs w:val="24"/>
          <w:rtl/>
        </w:rPr>
      </w:pPr>
      <w:r w:rsidRPr="00696553">
        <w:rPr>
          <w:sz w:val="24"/>
          <w:szCs w:val="24"/>
          <w:rtl/>
        </w:rPr>
        <w:t xml:space="preserve">                               **</w:t>
      </w:r>
    </w:p>
    <w:p w14:paraId="1B0604C2" w14:textId="77777777" w:rsidR="00664319" w:rsidRPr="00696553" w:rsidRDefault="00664319" w:rsidP="00664319">
      <w:pPr>
        <w:rPr>
          <w:sz w:val="24"/>
          <w:szCs w:val="24"/>
          <w:rtl/>
        </w:rPr>
      </w:pPr>
      <w:r w:rsidRPr="00696553">
        <w:rPr>
          <w:sz w:val="24"/>
          <w:szCs w:val="24"/>
          <w:rtl/>
        </w:rPr>
        <w:t xml:space="preserve">זכות גדולה עמדה לי שהרב קרבני ועודדני - כשם שעודד רבים שכמותי - ואף סייע בידי בעריכת הספר "מאמרי </w:t>
      </w:r>
      <w:proofErr w:type="spellStart"/>
      <w:r w:rsidRPr="00696553">
        <w:rPr>
          <w:sz w:val="24"/>
          <w:szCs w:val="24"/>
          <w:rtl/>
        </w:rPr>
        <w:t>הראי"ה</w:t>
      </w:r>
      <w:proofErr w:type="spellEnd"/>
      <w:r w:rsidRPr="00696553">
        <w:rPr>
          <w:sz w:val="24"/>
          <w:szCs w:val="24"/>
          <w:rtl/>
        </w:rPr>
        <w:t xml:space="preserve">". </w:t>
      </w:r>
    </w:p>
    <w:p w14:paraId="50F14929" w14:textId="77777777" w:rsidR="00664319" w:rsidRPr="00696553" w:rsidRDefault="00664319" w:rsidP="00664319">
      <w:pPr>
        <w:rPr>
          <w:sz w:val="24"/>
          <w:szCs w:val="24"/>
          <w:rtl/>
        </w:rPr>
      </w:pPr>
      <w:r w:rsidRPr="00696553">
        <w:rPr>
          <w:sz w:val="24"/>
          <w:szCs w:val="24"/>
          <w:rtl/>
        </w:rPr>
        <w:lastRenderedPageBreak/>
        <w:t xml:space="preserve">עם פטירתו של אותו גדול בישראל, </w:t>
      </w:r>
      <w:proofErr w:type="spellStart"/>
      <w:r w:rsidRPr="00696553">
        <w:rPr>
          <w:sz w:val="24"/>
          <w:szCs w:val="24"/>
          <w:rtl/>
        </w:rPr>
        <w:t>הרמ"צ</w:t>
      </w:r>
      <w:proofErr w:type="spellEnd"/>
      <w:r w:rsidRPr="00696553">
        <w:rPr>
          <w:sz w:val="24"/>
          <w:szCs w:val="24"/>
          <w:rtl/>
        </w:rPr>
        <w:t xml:space="preserve"> נריה זצ"ל, לא נוכל יותר להתענג מנועם שיעוריו, שיחותיו ונעימותיו, אבל אם לא "מפיהם" אזי לכל הפחות "מפי כתבם". נותרו בידינו ספריו הבהירים והעמוקים. </w:t>
      </w:r>
    </w:p>
    <w:p w14:paraId="53909D0F" w14:textId="77777777" w:rsidR="00D13971" w:rsidRPr="00696553" w:rsidRDefault="00664319" w:rsidP="00664319">
      <w:pPr>
        <w:rPr>
          <w:sz w:val="24"/>
          <w:szCs w:val="24"/>
        </w:rPr>
      </w:pPr>
      <w:r w:rsidRPr="00696553">
        <w:rPr>
          <w:sz w:val="24"/>
          <w:szCs w:val="24"/>
          <w:rtl/>
        </w:rPr>
        <w:t xml:space="preserve">נחמתנו היא במפעלו הרוחני החינוכי האדיר שלא יפסק לעד ובספריו אשר מאירים באורה של תורת ארץ-ישראל.   </w:t>
      </w:r>
    </w:p>
    <w:sectPr w:rsidR="00D13971" w:rsidRPr="00696553" w:rsidSect="00D45206">
      <w:pgSz w:w="12240" w:h="15840" w:code="1"/>
      <w:pgMar w:top="1440" w:right="1797" w:bottom="1440" w:left="1797" w:header="720" w:footer="720" w:gutter="0"/>
      <w:cols w:space="720"/>
      <w:noEndnote/>
      <w:bidi/>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19"/>
    <w:rsid w:val="001D6D30"/>
    <w:rsid w:val="001E2703"/>
    <w:rsid w:val="001E3546"/>
    <w:rsid w:val="00652CAF"/>
    <w:rsid w:val="00664319"/>
    <w:rsid w:val="00696553"/>
    <w:rsid w:val="006D0AA2"/>
    <w:rsid w:val="00705712"/>
    <w:rsid w:val="00780969"/>
    <w:rsid w:val="007C0A2E"/>
    <w:rsid w:val="009300EC"/>
    <w:rsid w:val="00C72A9B"/>
    <w:rsid w:val="00CB617E"/>
    <w:rsid w:val="00D13971"/>
    <w:rsid w:val="00D45206"/>
    <w:rsid w:val="00F35D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B9C6"/>
  <w15:chartTrackingRefBased/>
  <w15:docId w15:val="{7AF1033C-E32D-425B-9B43-404AA6A4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969"/>
    <w:pPr>
      <w:bidi/>
      <w:spacing w:after="120" w:line="288" w:lineRule="auto"/>
      <w:jc w:val="both"/>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1461</Words>
  <Characters>7307</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raphy kaplan</cp:lastModifiedBy>
  <cp:revision>2</cp:revision>
  <dcterms:created xsi:type="dcterms:W3CDTF">2025-11-24T07:04:00Z</dcterms:created>
  <dcterms:modified xsi:type="dcterms:W3CDTF">2025-11-24T07:04:00Z</dcterms:modified>
</cp:coreProperties>
</file>