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CB2C4" w14:textId="77777777" w:rsidR="00E5632D" w:rsidRDefault="00E5632D" w:rsidP="004F31B6">
      <w:pPr>
        <w:pStyle w:val="2"/>
        <w:jc w:val="center"/>
        <w:rPr>
          <w:rFonts w:ascii="David" w:hAnsi="David" w:cs="David"/>
          <w:rtl/>
        </w:rPr>
      </w:pPr>
      <w:r w:rsidRPr="00EF15F6">
        <w:rPr>
          <w:rFonts w:ascii="David" w:hAnsi="David" w:cs="David"/>
          <w:rtl/>
        </w:rPr>
        <w:t>התפתחות זרם הישיבות התיכוניות</w:t>
      </w:r>
      <w:r w:rsidRPr="00EF15F6">
        <w:rPr>
          <w:rStyle w:val="af0"/>
          <w:rFonts w:ascii="David" w:hAnsi="David" w:cs="David"/>
          <w:rtl/>
        </w:rPr>
        <w:footnoteReference w:id="1"/>
      </w:r>
    </w:p>
    <w:p w14:paraId="1EBDB3DA" w14:textId="751878DC" w:rsidR="004F31B6" w:rsidRDefault="004F31B6" w:rsidP="004F31B6">
      <w:pPr>
        <w:jc w:val="center"/>
        <w:rPr>
          <w:rtl/>
        </w:rPr>
      </w:pPr>
      <w:r>
        <w:rPr>
          <w:rFonts w:hint="cs"/>
          <w:rtl/>
        </w:rPr>
        <w:t xml:space="preserve">מתוך הספר "מסילה חדשה </w:t>
      </w:r>
      <w:r>
        <w:rPr>
          <w:rtl/>
        </w:rPr>
        <w:t>–</w:t>
      </w:r>
      <w:r>
        <w:rPr>
          <w:rFonts w:hint="cs"/>
          <w:rtl/>
        </w:rPr>
        <w:t xml:space="preserve"> </w:t>
      </w:r>
      <w:proofErr w:type="spellStart"/>
      <w:r>
        <w:rPr>
          <w:rFonts w:hint="cs"/>
          <w:rtl/>
        </w:rPr>
        <w:t>הראי"ה</w:t>
      </w:r>
      <w:proofErr w:type="spellEnd"/>
      <w:r>
        <w:rPr>
          <w:rFonts w:hint="cs"/>
          <w:rtl/>
        </w:rPr>
        <w:t xml:space="preserve"> קוק ואתגרי החינוך"</w:t>
      </w:r>
    </w:p>
    <w:p w14:paraId="19C48252" w14:textId="3DB6894A" w:rsidR="004F31B6" w:rsidRDefault="004F31B6" w:rsidP="004F31B6">
      <w:pPr>
        <w:jc w:val="center"/>
        <w:rPr>
          <w:rtl/>
        </w:rPr>
      </w:pPr>
      <w:r>
        <w:rPr>
          <w:rFonts w:hint="cs"/>
          <w:rtl/>
        </w:rPr>
        <w:t>הרב אברהם וסרמן</w:t>
      </w:r>
    </w:p>
    <w:p w14:paraId="114CBCCA" w14:textId="77777777" w:rsidR="00CB3C93" w:rsidRPr="004F31B6" w:rsidRDefault="00CB3C93" w:rsidP="004F31B6">
      <w:pPr>
        <w:jc w:val="center"/>
        <w:rPr>
          <w:rtl/>
        </w:rPr>
      </w:pPr>
    </w:p>
    <w:p w14:paraId="4BE2F2A0" w14:textId="77777777" w:rsidR="00E5632D" w:rsidRPr="00EF15F6" w:rsidRDefault="00E5632D" w:rsidP="00E5632D">
      <w:pPr>
        <w:pStyle w:val="af2"/>
        <w:rPr>
          <w:rFonts w:ascii="David" w:hAnsi="David" w:cs="David"/>
          <w:rtl/>
        </w:rPr>
      </w:pPr>
      <w:r w:rsidRPr="00EF15F6">
        <w:rPr>
          <w:rFonts w:ascii="David" w:hAnsi="David" w:cs="David"/>
          <w:rtl/>
        </w:rPr>
        <w:t>הרב נריה שאף להקים ישיבות בכל מקום, וכך ניסח את המנון "</w:t>
      </w:r>
      <w:proofErr w:type="spellStart"/>
      <w:r w:rsidRPr="00EF15F6">
        <w:rPr>
          <w:rFonts w:ascii="David" w:hAnsi="David" w:cs="David"/>
          <w:rtl/>
        </w:rPr>
        <w:t>בני־עקיבא</w:t>
      </w:r>
      <w:proofErr w:type="spellEnd"/>
      <w:r w:rsidRPr="00EF15F6">
        <w:rPr>
          <w:rFonts w:ascii="David" w:hAnsi="David" w:cs="David"/>
          <w:rtl/>
        </w:rPr>
        <w:t xml:space="preserve">". מה שבתחילה היה נראה מופרך לחלוטין הלך והתפתח. מקומץ קטן שהקים את ישיבת כפר </w:t>
      </w:r>
      <w:proofErr w:type="spellStart"/>
      <w:r w:rsidRPr="00EF15F6">
        <w:rPr>
          <w:rFonts w:ascii="David" w:hAnsi="David" w:cs="David"/>
          <w:rtl/>
        </w:rPr>
        <w:t>הרא"ה</w:t>
      </w:r>
      <w:proofErr w:type="spellEnd"/>
      <w:r w:rsidRPr="00EF15F6">
        <w:rPr>
          <w:rFonts w:ascii="David" w:hAnsi="David" w:cs="David"/>
          <w:rtl/>
        </w:rPr>
        <w:t xml:space="preserve">, אשר דשדשה במשך כעשור, הלך הזרם ופרץ עד שבשנת תשי"א החלו להגיע נערים איכותיים ובמספר גדול יותר לכפר </w:t>
      </w:r>
      <w:proofErr w:type="spellStart"/>
      <w:r w:rsidRPr="00EF15F6">
        <w:rPr>
          <w:rFonts w:ascii="David" w:hAnsi="David" w:cs="David"/>
          <w:rtl/>
        </w:rPr>
        <w:t>הרא"ה</w:t>
      </w:r>
      <w:proofErr w:type="spellEnd"/>
      <w:r w:rsidRPr="00EF15F6">
        <w:rPr>
          <w:rFonts w:ascii="David" w:hAnsi="David" w:cs="David"/>
          <w:rtl/>
        </w:rPr>
        <w:t>, מגמה שהלכה והתרחבה בשנים הבאות. היו אלה הנערים בני שבט "איתנים" של "בני עקיבא" (ילידי תרצ"ו</w:t>
      </w:r>
      <w:r w:rsidRPr="00EF15F6">
        <w:rPr>
          <w:rFonts w:ascii="David" w:hAnsi="David" w:cs="David"/>
          <w:rtl/>
        </w:rPr>
        <w:noBreakHyphen/>
        <w:t>תרצ"ז, 1936</w:t>
      </w:r>
      <w:r w:rsidRPr="00EF15F6">
        <w:rPr>
          <w:rFonts w:ascii="David" w:hAnsi="David" w:cs="David"/>
          <w:rtl/>
        </w:rPr>
        <w:noBreakHyphen/>
        <w:t xml:space="preserve">1937), שהמדריך שלהם היה חיים דרוקמן, לימים ראש ישיבת אור עציון וראש מרכז ישיבות "בני עקיבא", אשר ממשיך את דרכו של קודמו בתפקיד זה – הרב נריה. רבים מחבריהם, שנותרו בעיר, נסחפו אחר הלך הרוח החילוני ששלט אז ברחוב הישראלי, ועזבו את אורח החיים הדתי. עובדה זו החדירה בתלמידים תחושת שליחות ואחריות לעמוד בפרץ ולמנוע את ההידרדרות. </w:t>
      </w:r>
    </w:p>
    <w:p w14:paraId="5C82D3D7" w14:textId="77777777" w:rsidR="00E5632D" w:rsidRPr="00EF15F6" w:rsidRDefault="00E5632D" w:rsidP="00E5632D">
      <w:pPr>
        <w:rPr>
          <w:rFonts w:cs="David"/>
          <w:rtl/>
        </w:rPr>
      </w:pPr>
      <w:r w:rsidRPr="00EF15F6">
        <w:rPr>
          <w:rFonts w:cs="David"/>
          <w:rtl/>
        </w:rPr>
        <w:t xml:space="preserve">הנהלת הישיבה אפשרה לתלמידים לקחת אחריות בתחומים רבים. בין היתר נשלחו התלמידים להקים סניפים במחנות העולים הסמוכים לכפר </w:t>
      </w:r>
      <w:proofErr w:type="spellStart"/>
      <w:r w:rsidRPr="00EF15F6">
        <w:rPr>
          <w:rFonts w:cs="David"/>
          <w:rtl/>
        </w:rPr>
        <w:t>הרא"ה</w:t>
      </w:r>
      <w:proofErr w:type="spellEnd"/>
      <w:r w:rsidRPr="00EF15F6">
        <w:rPr>
          <w:rFonts w:cs="David"/>
          <w:rtl/>
        </w:rPr>
        <w:t xml:space="preserve">, כדוגמת אלישיב </w:t>
      </w:r>
      <w:proofErr w:type="spellStart"/>
      <w:r w:rsidRPr="00EF15F6">
        <w:rPr>
          <w:rFonts w:cs="David"/>
          <w:rtl/>
        </w:rPr>
        <w:t>ובית־ליד</w:t>
      </w:r>
      <w:proofErr w:type="spellEnd"/>
      <w:r w:rsidRPr="00EF15F6">
        <w:rPr>
          <w:rFonts w:cs="David"/>
          <w:rtl/>
        </w:rPr>
        <w:t xml:space="preserve">. הרב נריה הסביר להם שהמטרה העיקרית של שליחותם במחנות העולים היא לכוון את החניכים לחינוך דתי. כך התגברה עוד יותר תחושת השליחות של שבט "איתנים". באותה שנה, שבה הגיעו תלמידים רבים מהרגיל, הקים הרב נריה ישיבה תיכונית במירון בעזרת קבוצה של שלושה עשר מתלמידי כפר </w:t>
      </w:r>
      <w:proofErr w:type="spellStart"/>
      <w:r w:rsidRPr="00EF15F6">
        <w:rPr>
          <w:rFonts w:cs="David"/>
          <w:rtl/>
        </w:rPr>
        <w:t>הרא"ה</w:t>
      </w:r>
      <w:proofErr w:type="spellEnd"/>
      <w:r w:rsidRPr="00EF15F6">
        <w:rPr>
          <w:rFonts w:cs="David"/>
          <w:rtl/>
        </w:rPr>
        <w:t xml:space="preserve">. המטרה הייתה לתת מענה לתלמידים מצפת, טבריה ובעיקר מושבי העולים. פעילותם של התלמידים חידדה בעבורם את תחושת השליחות והייעוד, ומנערים צעירים הם התגבשו לבחורים שיודעים מה הם רוצים. </w:t>
      </w:r>
    </w:p>
    <w:p w14:paraId="2205D8A4" w14:textId="77777777" w:rsidR="00E5632D" w:rsidRPr="00EF15F6" w:rsidRDefault="00E5632D" w:rsidP="00E5632D">
      <w:pPr>
        <w:rPr>
          <w:rFonts w:cs="David"/>
          <w:rtl/>
        </w:rPr>
      </w:pPr>
      <w:r w:rsidRPr="00EF15F6">
        <w:rPr>
          <w:rFonts w:cs="David"/>
          <w:rtl/>
        </w:rPr>
        <w:t>בשנת תשי"ג יזם הרב נריה את הקמת הישיבה השלישית, "נתיב מאיר" בירושלים, בראשות הרב אריה בינה,</w:t>
      </w:r>
      <w:r w:rsidRPr="00EF15F6">
        <w:rPr>
          <w:rStyle w:val="af0"/>
          <w:rFonts w:cs="David"/>
          <w:rtl/>
        </w:rPr>
        <w:footnoteReference w:id="2"/>
      </w:r>
      <w:r w:rsidRPr="00EF15F6">
        <w:rPr>
          <w:rFonts w:cs="David"/>
          <w:rtl/>
        </w:rPr>
        <w:t xml:space="preserve"> ששימש ר"מ בכפר </w:t>
      </w:r>
      <w:proofErr w:type="spellStart"/>
      <w:r w:rsidRPr="00EF15F6">
        <w:rPr>
          <w:rFonts w:cs="David"/>
          <w:rtl/>
        </w:rPr>
        <w:t>הרא"ה</w:t>
      </w:r>
      <w:proofErr w:type="spellEnd"/>
      <w:r w:rsidRPr="00EF15F6">
        <w:rPr>
          <w:rFonts w:cs="David"/>
          <w:rtl/>
        </w:rPr>
        <w:t xml:space="preserve">. בשנת תשט"ו הוסיף ויזם את הקמת ישיבת "נחלים", ובשנת תשי"ז – את הישיבה בשדה יעקב. במהלך שנות החמישים והשישים הוקמו לפחות 17 ישיבות תיכוניות בזו אחר זו בכל רחבי הארץ, ממירון בצפון ועד באר שבע בדרום. בתוך כעשרים שנה השתנתה לחלוטין מפת החינוך </w:t>
      </w:r>
      <w:proofErr w:type="spellStart"/>
      <w:r w:rsidRPr="00EF15F6">
        <w:rPr>
          <w:rFonts w:cs="David"/>
          <w:rtl/>
        </w:rPr>
        <w:t>העל־יסודי</w:t>
      </w:r>
      <w:proofErr w:type="spellEnd"/>
      <w:r w:rsidRPr="00EF15F6">
        <w:rPr>
          <w:rFonts w:cs="David"/>
          <w:rtl/>
        </w:rPr>
        <w:t xml:space="preserve"> של הזרם </w:t>
      </w:r>
      <w:proofErr w:type="spellStart"/>
      <w:r w:rsidRPr="00EF15F6">
        <w:rPr>
          <w:rFonts w:cs="David"/>
          <w:rtl/>
        </w:rPr>
        <w:t>הדתי־לאומי</w:t>
      </w:r>
      <w:proofErr w:type="spellEnd"/>
      <w:r w:rsidRPr="00EF15F6">
        <w:rPr>
          <w:rFonts w:cs="David"/>
          <w:rtl/>
        </w:rPr>
        <w:t xml:space="preserve">. הישיבות הפכו למוסדות נחשבים ומבוקשים, וזרם התלמידים הלך וגדל. </w:t>
      </w:r>
    </w:p>
    <w:p w14:paraId="5554D6E1" w14:textId="77777777" w:rsidR="00E5632D" w:rsidRPr="00EF15F6" w:rsidRDefault="00E5632D" w:rsidP="00E5632D">
      <w:pPr>
        <w:rPr>
          <w:rFonts w:cs="David"/>
          <w:rtl/>
        </w:rPr>
      </w:pPr>
      <w:r w:rsidRPr="00EF15F6">
        <w:rPr>
          <w:rFonts w:cs="David"/>
          <w:rtl/>
        </w:rPr>
        <w:t xml:space="preserve">בשנת תשכ"א הקים הרב נריה את האולפנה הראשונה לבנות בכפר פינס, שזכתה לכינוי "אם האולפנות". בשנת תשכ"ד הקים את "אמנה" בכפר סבא. </w:t>
      </w:r>
      <w:proofErr w:type="spellStart"/>
      <w:r w:rsidRPr="00EF15F6">
        <w:rPr>
          <w:rFonts w:cs="David"/>
          <w:rtl/>
        </w:rPr>
        <w:t>בתשכ"ה</w:t>
      </w:r>
      <w:proofErr w:type="spellEnd"/>
      <w:r w:rsidRPr="00EF15F6">
        <w:rPr>
          <w:rFonts w:cs="David"/>
          <w:rtl/>
        </w:rPr>
        <w:t xml:space="preserve"> הוקמו עוד שתי אולפנות, ובמהלך השנים שאח"כ באו בעקבותיהן עוד עשרות אולפנות ברחבי הארץ.</w:t>
      </w:r>
    </w:p>
    <w:p w14:paraId="32C464A2" w14:textId="77777777" w:rsidR="00E5632D" w:rsidRPr="00EF15F6" w:rsidRDefault="00E5632D" w:rsidP="00E5632D">
      <w:pPr>
        <w:rPr>
          <w:rFonts w:cs="David"/>
          <w:rtl/>
        </w:rPr>
      </w:pPr>
      <w:r w:rsidRPr="00EF15F6">
        <w:rPr>
          <w:rFonts w:cs="David"/>
          <w:rtl/>
        </w:rPr>
        <w:t xml:space="preserve">לקראת סוף שנות השבעים החלה לפעול רשת </w:t>
      </w:r>
      <w:proofErr w:type="spellStart"/>
      <w:r w:rsidRPr="00EF15F6">
        <w:rPr>
          <w:rFonts w:cs="David"/>
          <w:rtl/>
        </w:rPr>
        <w:t>אמי"ת</w:t>
      </w:r>
      <w:proofErr w:type="spellEnd"/>
      <w:r w:rsidRPr="00EF15F6">
        <w:rPr>
          <w:rFonts w:cs="David"/>
          <w:rtl/>
        </w:rPr>
        <w:t xml:space="preserve"> (ארגון מתנדבות למען ישראל ותורה), מיסודה של תנועת נשות המזרחי בארה"ב. בראשה עמד ד"ר עמי זאבי</w:t>
      </w:r>
      <w:r w:rsidRPr="00EF15F6">
        <w:rPr>
          <w:rStyle w:val="af0"/>
          <w:rFonts w:cs="David"/>
          <w:rtl/>
        </w:rPr>
        <w:footnoteReference w:id="3"/>
      </w:r>
      <w:r w:rsidRPr="00EF15F6">
        <w:rPr>
          <w:rFonts w:cs="David"/>
          <w:rtl/>
        </w:rPr>
        <w:t xml:space="preserve"> שהפך רשת זו למקיפה וגדולה, שבה ישיבות תיכוניות ואולפנות רבות, במגוון סגנונות דתיים. לרשת זו נוספו מגוון של מוסדות חינוך חילונים דתיים לאומיים וחרדים, מתוך תפיסה משלבת. </w:t>
      </w:r>
    </w:p>
    <w:p w14:paraId="33556E19" w14:textId="77777777" w:rsidR="00E5632D" w:rsidRPr="00EF15F6" w:rsidRDefault="00E5632D" w:rsidP="00E5632D">
      <w:pPr>
        <w:rPr>
          <w:rFonts w:cs="David"/>
          <w:rtl/>
        </w:rPr>
      </w:pPr>
      <w:r w:rsidRPr="00EF15F6">
        <w:rPr>
          <w:rFonts w:cs="David"/>
          <w:rtl/>
        </w:rPr>
        <w:t>ניסיון נוסף להקמת ישיבה העוסקת בעיקר בלימודי קודש נעשה בשנת תשכ"ד (1964) בדמותה של "ישיבת ירושלים לצעירים" (גילאי 12</w:t>
      </w:r>
      <w:r w:rsidRPr="00EF15F6">
        <w:rPr>
          <w:rFonts w:cs="David"/>
          <w:rtl/>
        </w:rPr>
        <w:noBreakHyphen/>
        <w:t xml:space="preserve">18). מוסד זה, שהיה למעשה מסונף לישיבת "מרכז הרב", הוקם ביוזמתו של הרב אברהם שפירא, לימים הרב הראשי לישראל. הרב צבי יהודה קוק, ראש הישיבה, תמך </w:t>
      </w:r>
      <w:r w:rsidRPr="00EF15F6">
        <w:rPr>
          <w:rFonts w:cs="David"/>
          <w:rtl/>
        </w:rPr>
        <w:lastRenderedPageBreak/>
        <w:t xml:space="preserve">ברעיון. בפועל עסק בהקמת הישיבה הרב יעקב </w:t>
      </w:r>
      <w:proofErr w:type="spellStart"/>
      <w:r w:rsidRPr="00EF15F6">
        <w:rPr>
          <w:rFonts w:cs="David"/>
          <w:rtl/>
        </w:rPr>
        <w:t>פילבר</w:t>
      </w:r>
      <w:proofErr w:type="spellEnd"/>
      <w:r w:rsidRPr="00EF15F6">
        <w:rPr>
          <w:rFonts w:cs="David"/>
          <w:rtl/>
        </w:rPr>
        <w:t xml:space="preserve">, תלמידו של הרב צבי יהודה, שאליו הצטרפו חבריו לגרעין </w:t>
      </w:r>
      <w:proofErr w:type="spellStart"/>
      <w:r w:rsidRPr="00EF15F6">
        <w:rPr>
          <w:rFonts w:cs="David"/>
          <w:rtl/>
        </w:rPr>
        <w:t>גחל"ת</w:t>
      </w:r>
      <w:proofErr w:type="spellEnd"/>
      <w:r w:rsidRPr="00EF15F6">
        <w:rPr>
          <w:rFonts w:cs="David"/>
          <w:rtl/>
        </w:rPr>
        <w:t xml:space="preserve"> (=גרעין חלוצים לומדי תורה) – הרב צפניה דרורי, הרב עוזי </w:t>
      </w:r>
      <w:proofErr w:type="spellStart"/>
      <w:r w:rsidRPr="00EF15F6">
        <w:rPr>
          <w:rFonts w:cs="David"/>
          <w:rtl/>
        </w:rPr>
        <w:t>קלכהיים</w:t>
      </w:r>
      <w:proofErr w:type="spellEnd"/>
      <w:r w:rsidRPr="00EF15F6">
        <w:rPr>
          <w:rFonts w:cs="David"/>
          <w:rtl/>
        </w:rPr>
        <w:t xml:space="preserve">, הרב יוסף </w:t>
      </w:r>
      <w:proofErr w:type="spellStart"/>
      <w:r w:rsidRPr="00EF15F6">
        <w:rPr>
          <w:rFonts w:cs="David"/>
          <w:rtl/>
        </w:rPr>
        <w:t>ברמסון</w:t>
      </w:r>
      <w:proofErr w:type="spellEnd"/>
      <w:r w:rsidRPr="00EF15F6">
        <w:rPr>
          <w:rFonts w:cs="David"/>
          <w:rtl/>
        </w:rPr>
        <w:t xml:space="preserve"> ועוד. הישיבה סיפקה מענה חינוכי לבניהם של אנשי "מרכז הרב", שלא היו מרוצים מהחינוך במוסדות החינוך החרדיים מחד גיסא, ומהפשרנות החינוכית שרווחה בזרם הממ"ד מאידך גיסא. מורה דרכה הרוחני של הישיבה היה הרב צבי יהודה קוק, ומשכנה נקבע בבניין הסמוך לישיבת "מרכז הרב". </w:t>
      </w:r>
    </w:p>
    <w:p w14:paraId="6F6D875A" w14:textId="77777777" w:rsidR="00E5632D" w:rsidRPr="00EF15F6" w:rsidRDefault="00E5632D" w:rsidP="00E5632D">
      <w:pPr>
        <w:rPr>
          <w:rFonts w:cs="David"/>
          <w:rtl/>
        </w:rPr>
      </w:pPr>
      <w:r w:rsidRPr="00EF15F6">
        <w:rPr>
          <w:rFonts w:cs="David"/>
          <w:rtl/>
        </w:rPr>
        <w:t>עיקר היום ורובו יוחד ללימודי קודש, ורק זמן מועט עסקו בלימודי חול. מתחילה הנחה אותם הרב צבי יהודה קוק ללמד רק חשבון, מקצוע שנלמד גם בישיבת "עץ חיים", ספינת הדגל של הפרושים ביישוב הירושלמי הישן, והתיר להוסיף גם שיעורי ספרות והיסטוריה, הנלווים ללימודי הקודש.</w:t>
      </w:r>
      <w:r w:rsidRPr="00EF15F6">
        <w:rPr>
          <w:rStyle w:val="af0"/>
          <w:rFonts w:cs="David"/>
          <w:rtl/>
        </w:rPr>
        <w:footnoteReference w:id="4"/>
      </w:r>
      <w:r w:rsidRPr="00EF15F6">
        <w:rPr>
          <w:rFonts w:cs="David"/>
          <w:rtl/>
        </w:rPr>
        <w:t xml:space="preserve"> את מקצועות החול הנוספים שנדרשו לשם קבלת תעודת בגרות, הגדיר כחלק מחובת האב ללמד את בנו אומנות. לכן קבע שמקומם אינו בתוך מסגרת הישיבה אלא מחוץ לה, כדי שלא לערבב בין התחומים. צעירים אינם אוהבים פשרות, הוסיף ונימק (בדומה לדברי הרב נריה דלעיל), ולכן יתקשו להכיל את המורכבות של שילוב הקודש והחול. מבוגרים יותר מודעים ל"סיבוכי החיים", כלומר: למורכבותם. לכן עדיף לדחות את לימודי החול לשלבים מאוחרים ככל הניתן. </w:t>
      </w:r>
    </w:p>
    <w:p w14:paraId="57EE7278" w14:textId="77777777" w:rsidR="00E5632D" w:rsidRPr="00EF15F6" w:rsidRDefault="00E5632D" w:rsidP="00E5632D">
      <w:pPr>
        <w:rPr>
          <w:rFonts w:cs="David"/>
          <w:rtl/>
        </w:rPr>
      </w:pPr>
      <w:proofErr w:type="spellStart"/>
      <w:r w:rsidRPr="00EF15F6">
        <w:rPr>
          <w:rFonts w:cs="David"/>
          <w:rtl/>
        </w:rPr>
        <w:t>לרצי"ה</w:t>
      </w:r>
      <w:proofErr w:type="spellEnd"/>
      <w:r w:rsidRPr="00EF15F6">
        <w:rPr>
          <w:rFonts w:cs="David"/>
          <w:rtl/>
        </w:rPr>
        <w:t xml:space="preserve"> הייתה הסתייגות מיוחדת מלימודי השפה האנגלית, מתוך תפיסה שראתה בלימוד השפה פתח לקליטת תרבות זרה, שאין לערבבה בתרבות הקודש.</w:t>
      </w:r>
      <w:r w:rsidRPr="00EF15F6">
        <w:rPr>
          <w:rStyle w:val="af0"/>
          <w:rFonts w:cs="David"/>
          <w:rtl/>
        </w:rPr>
        <w:footnoteReference w:id="5"/>
      </w:r>
      <w:r w:rsidRPr="00EF15F6">
        <w:rPr>
          <w:rFonts w:cs="David"/>
          <w:rtl/>
        </w:rPr>
        <w:t xml:space="preserve"> מאחר שריכוז כל לימודי האנגלית בכיתה י"ב בשנה אחת איננו ריאלי, הסכים </w:t>
      </w:r>
      <w:proofErr w:type="spellStart"/>
      <w:r w:rsidRPr="00EF15F6">
        <w:rPr>
          <w:rFonts w:cs="David"/>
          <w:rtl/>
        </w:rPr>
        <w:t>הרצי"ה</w:t>
      </w:r>
      <w:proofErr w:type="spellEnd"/>
      <w:r w:rsidRPr="00EF15F6">
        <w:rPr>
          <w:rFonts w:cs="David"/>
          <w:rtl/>
        </w:rPr>
        <w:t xml:space="preserve"> ללימודי אנגלית כמקובל – אבל דווקא בערב, כחוג מטעם ההורים, שהתקיים מחוץ לכותלי הישיבה. </w:t>
      </w:r>
    </w:p>
    <w:p w14:paraId="71AA3949" w14:textId="77777777" w:rsidR="00E5632D" w:rsidRPr="00EF15F6" w:rsidRDefault="00E5632D" w:rsidP="00E5632D">
      <w:pPr>
        <w:rPr>
          <w:rFonts w:cs="David"/>
          <w:rtl/>
        </w:rPr>
      </w:pPr>
      <w:r w:rsidRPr="00EF15F6">
        <w:rPr>
          <w:rFonts w:cs="David"/>
          <w:rtl/>
        </w:rPr>
        <w:t xml:space="preserve">רק מאמצע שנות השמונים החלה הישיבה להכין את תלמידיה לבגרות מלאה, וגם לימודי האנגלית נכנסו אל בין כתליה. מבחינה זו, היא עברה תהליך דומה לזה שעברה ישיבת כפר </w:t>
      </w:r>
      <w:proofErr w:type="spellStart"/>
      <w:r w:rsidRPr="00EF15F6">
        <w:rPr>
          <w:rFonts w:cs="David"/>
          <w:rtl/>
        </w:rPr>
        <w:t>הרא"ה</w:t>
      </w:r>
      <w:proofErr w:type="spellEnd"/>
      <w:r w:rsidRPr="00EF15F6">
        <w:rPr>
          <w:rFonts w:cs="David"/>
          <w:rtl/>
        </w:rPr>
        <w:t xml:space="preserve"> בשעתה. </w:t>
      </w:r>
    </w:p>
    <w:p w14:paraId="2A64A19A" w14:textId="77777777" w:rsidR="00E5632D" w:rsidRPr="00EF15F6" w:rsidRDefault="00E5632D" w:rsidP="00E5632D">
      <w:pPr>
        <w:rPr>
          <w:rFonts w:cs="David"/>
          <w:rtl/>
        </w:rPr>
      </w:pPr>
      <w:r w:rsidRPr="00EF15F6">
        <w:rPr>
          <w:rFonts w:cs="David"/>
          <w:rtl/>
        </w:rPr>
        <w:t xml:space="preserve">כיום יש ברחבי הארץ כמאה ישיבות תיכוניות. מגוון הסגנונות רב מאוד וכולל ישיבות בדגש סביבתי אמנותי או מדעי, ורק חלקן הקטן </w:t>
      </w:r>
      <w:proofErr w:type="spellStart"/>
      <w:r w:rsidRPr="00EF15F6">
        <w:rPr>
          <w:rFonts w:cs="David"/>
          <w:rtl/>
        </w:rPr>
        <w:t>פנימייתיות</w:t>
      </w:r>
      <w:proofErr w:type="spellEnd"/>
      <w:r w:rsidRPr="00EF15F6">
        <w:rPr>
          <w:rFonts w:cs="David"/>
          <w:rtl/>
        </w:rPr>
        <w:t xml:space="preserve">. שלש רשתות דומיננטיות כיום בתחום זה – </w:t>
      </w:r>
      <w:proofErr w:type="spellStart"/>
      <w:r w:rsidRPr="00EF15F6">
        <w:rPr>
          <w:rFonts w:cs="David"/>
          <w:rtl/>
        </w:rPr>
        <w:t>אמי"ת</w:t>
      </w:r>
      <w:proofErr w:type="spellEnd"/>
      <w:r w:rsidRPr="00EF15F6">
        <w:rPr>
          <w:rFonts w:cs="David"/>
          <w:rtl/>
        </w:rPr>
        <w:t xml:space="preserve">, </w:t>
      </w:r>
      <w:proofErr w:type="spellStart"/>
      <w:r w:rsidRPr="00EF15F6">
        <w:rPr>
          <w:rFonts w:cs="David"/>
          <w:rtl/>
        </w:rPr>
        <w:t>בני־עקיבא</w:t>
      </w:r>
      <w:proofErr w:type="spellEnd"/>
      <w:r w:rsidRPr="00EF15F6">
        <w:rPr>
          <w:rFonts w:cs="David"/>
          <w:rtl/>
        </w:rPr>
        <w:t xml:space="preserve"> וצביה. גם הרמה הדתית והתורנית של התלמידים מגוונת מאוד. אמנם, למרות המענה </w:t>
      </w:r>
      <w:proofErr w:type="spellStart"/>
      <w:r w:rsidRPr="00EF15F6">
        <w:rPr>
          <w:rFonts w:cs="David"/>
          <w:rtl/>
        </w:rPr>
        <w:t>המוסדי־חינוכי</w:t>
      </w:r>
      <w:proofErr w:type="spellEnd"/>
      <w:r w:rsidRPr="00EF15F6">
        <w:rPr>
          <w:rFonts w:cs="David"/>
          <w:rtl/>
        </w:rPr>
        <w:t xml:space="preserve"> לציבור </w:t>
      </w:r>
      <w:proofErr w:type="spellStart"/>
      <w:r w:rsidRPr="00EF15F6">
        <w:rPr>
          <w:rFonts w:cs="David"/>
          <w:rtl/>
        </w:rPr>
        <w:t>הדתי־לאומי</w:t>
      </w:r>
      <w:proofErr w:type="spellEnd"/>
      <w:r w:rsidRPr="00EF15F6">
        <w:rPr>
          <w:rFonts w:cs="David"/>
          <w:rtl/>
        </w:rPr>
        <w:t>, הרי שחלק משמעותי עדיין "זורק את הברט", אם תוך כדי שנות התיכון, או לאחריהן.</w:t>
      </w:r>
      <w:r w:rsidRPr="00EF15F6">
        <w:rPr>
          <w:rStyle w:val="af0"/>
          <w:rFonts w:cs="David"/>
          <w:rtl/>
        </w:rPr>
        <w:footnoteReference w:id="6"/>
      </w:r>
    </w:p>
    <w:p w14:paraId="719862FD" w14:textId="77777777" w:rsidR="00E5632D" w:rsidRPr="00CB3C93" w:rsidRDefault="00E5632D" w:rsidP="00E5632D">
      <w:pPr>
        <w:pStyle w:val="2"/>
        <w:rPr>
          <w:rFonts w:ascii="David" w:hAnsi="David" w:cs="David"/>
          <w:b/>
          <w:bCs/>
          <w:sz w:val="24"/>
          <w:szCs w:val="24"/>
          <w:rtl/>
        </w:rPr>
      </w:pPr>
      <w:r w:rsidRPr="00CB3C93">
        <w:rPr>
          <w:rFonts w:ascii="David" w:hAnsi="David" w:cs="David"/>
          <w:b/>
          <w:bCs/>
          <w:sz w:val="24"/>
          <w:szCs w:val="24"/>
          <w:rtl/>
        </w:rPr>
        <w:t>השפעה בסניפי "בני עקיבא"</w:t>
      </w:r>
    </w:p>
    <w:p w14:paraId="7E1A8023" w14:textId="77777777" w:rsidR="00E5632D" w:rsidRPr="00EF15F6" w:rsidRDefault="00E5632D" w:rsidP="00E5632D">
      <w:pPr>
        <w:pStyle w:val="af2"/>
        <w:rPr>
          <w:rFonts w:ascii="David" w:hAnsi="David" w:cs="David"/>
          <w:rtl/>
        </w:rPr>
      </w:pPr>
      <w:r w:rsidRPr="00EF15F6">
        <w:rPr>
          <w:rFonts w:ascii="David" w:hAnsi="David" w:cs="David"/>
          <w:rtl/>
        </w:rPr>
        <w:t xml:space="preserve">הרב יעקב </w:t>
      </w:r>
      <w:proofErr w:type="spellStart"/>
      <w:r w:rsidRPr="00EF15F6">
        <w:rPr>
          <w:rFonts w:ascii="David" w:hAnsi="David" w:cs="David"/>
          <w:rtl/>
        </w:rPr>
        <w:t>פילבר</w:t>
      </w:r>
      <w:proofErr w:type="spellEnd"/>
      <w:r w:rsidRPr="00EF15F6">
        <w:rPr>
          <w:rFonts w:ascii="David" w:hAnsi="David" w:cs="David"/>
          <w:rtl/>
        </w:rPr>
        <w:t xml:space="preserve"> סיכם את השפעתם של חברי שבט "איתנים" בכפר </w:t>
      </w:r>
      <w:proofErr w:type="spellStart"/>
      <w:r w:rsidRPr="00EF15F6">
        <w:rPr>
          <w:rFonts w:ascii="David" w:hAnsi="David" w:cs="David"/>
          <w:rtl/>
        </w:rPr>
        <w:t>הרא"ה</w:t>
      </w:r>
      <w:proofErr w:type="spellEnd"/>
      <w:r w:rsidRPr="00EF15F6">
        <w:rPr>
          <w:rFonts w:ascii="David" w:hAnsi="David" w:cs="David"/>
          <w:rtl/>
        </w:rPr>
        <w:t xml:space="preserve"> על כלל השבט הארצי ואת היעדים להמשך:</w:t>
      </w:r>
    </w:p>
    <w:p w14:paraId="59B2C536" w14:textId="77777777" w:rsidR="00E5632D" w:rsidRPr="00EF15F6" w:rsidRDefault="00E5632D" w:rsidP="00E5632D">
      <w:pPr>
        <w:pStyle w:val="af1"/>
        <w:rPr>
          <w:rFonts w:cs="David"/>
          <w:rtl/>
        </w:rPr>
      </w:pPr>
      <w:r w:rsidRPr="00EF15F6">
        <w:rPr>
          <w:rFonts w:cs="David"/>
          <w:rtl/>
        </w:rPr>
        <w:t xml:space="preserve">ביודעים ובלא יודעים מורגשת פחות או יותר פעולתנו בשבט הארצי. בעיית הריקודים גם </w:t>
      </w:r>
      <w:proofErr w:type="spellStart"/>
      <w:r w:rsidRPr="00EF15F6">
        <w:rPr>
          <w:rFonts w:cs="David"/>
          <w:rtl/>
        </w:rPr>
        <w:t>במקצתה</w:t>
      </w:r>
      <w:proofErr w:type="spellEnd"/>
      <w:r w:rsidRPr="00EF15F6">
        <w:rPr>
          <w:rFonts w:cs="David"/>
          <w:rtl/>
        </w:rPr>
        <w:t xml:space="preserve"> נפתרה אך לא חוסלה על ידינו. במספר סניפים אם רוקדים, הרי ריקודים נפרדים (פנימי וחיצוני). הצלחה דומה לה נחלנו במסגרת הארצית בסמינריון ומלבדה אף ביצירת שבת מופתית, אווירה דתית מרוממת ועוד... אך יש בידנו לעשות רבות מזה. חבל לראות בסניפים חברים מסתובבים באפס מעשה או מסתגרים בחברתנו. עלינו להתפזר בין חברי הסניפים לשוחח עמם – יהיה זה אחד, שניים או עשרות – כמה שידינו משגת. נוסף לפעולה הארגונית הכללית יש גם לטפל בכל פרט ופרט (טיפול אינדיווידואלי </w:t>
      </w:r>
      <w:proofErr w:type="spellStart"/>
      <w:r w:rsidRPr="00EF15F6">
        <w:rPr>
          <w:rFonts w:cs="David"/>
          <w:rtl/>
        </w:rPr>
        <w:t>בלע"ז</w:t>
      </w:r>
      <w:proofErr w:type="spellEnd"/>
      <w:r w:rsidRPr="00EF15F6">
        <w:rPr>
          <w:rFonts w:cs="David"/>
          <w:rtl/>
        </w:rPr>
        <w:t>) לחזקו ולאמצו.</w:t>
      </w:r>
      <w:r w:rsidRPr="00EF15F6">
        <w:rPr>
          <w:rStyle w:val="af0"/>
          <w:rFonts w:cs="David"/>
          <w:rtl/>
        </w:rPr>
        <w:footnoteReference w:id="7"/>
      </w:r>
      <w:r w:rsidRPr="00EF15F6">
        <w:rPr>
          <w:rFonts w:cs="David"/>
          <w:rtl/>
        </w:rPr>
        <w:t xml:space="preserve"> </w:t>
      </w:r>
    </w:p>
    <w:p w14:paraId="3A448441" w14:textId="77777777" w:rsidR="00E5632D" w:rsidRPr="00EF15F6" w:rsidRDefault="00E5632D" w:rsidP="00E5632D">
      <w:pPr>
        <w:pStyle w:val="af2"/>
        <w:rPr>
          <w:rFonts w:ascii="David" w:hAnsi="David" w:cs="David"/>
          <w:rtl/>
        </w:rPr>
      </w:pPr>
      <w:r w:rsidRPr="00EF15F6">
        <w:rPr>
          <w:rFonts w:ascii="David" w:hAnsi="David" w:cs="David"/>
          <w:rtl/>
        </w:rPr>
        <w:lastRenderedPageBreak/>
        <w:t xml:space="preserve">בהפרדה – היחסית, יש לומר – של הריקודים, פתחו למעשה את הפתח להפרדת הריקודים לגמרי בשני מעגלים שונים ומרוחקים, ולהפרדת המינים הגורפת שתתרחש מאוחר יותר בתנועת הנוער "אריאל" ובמקצת סניפי "בני עקיבא" עצמה. </w:t>
      </w:r>
    </w:p>
    <w:p w14:paraId="71929112" w14:textId="77777777" w:rsidR="00E5632D" w:rsidRPr="00EF15F6" w:rsidRDefault="00E5632D" w:rsidP="00E5632D">
      <w:pPr>
        <w:rPr>
          <w:rFonts w:cs="David"/>
          <w:rtl/>
        </w:rPr>
      </w:pPr>
      <w:r w:rsidRPr="00EF15F6">
        <w:rPr>
          <w:rFonts w:cs="David"/>
          <w:rtl/>
        </w:rPr>
        <w:t xml:space="preserve">היו גם מי שמגמת ה"התחרדות" לא נשאה חן בעיניהם, וניסו להחזיר את הריקודים המעורבים ליושנם, כעדותו של הרב </w:t>
      </w:r>
      <w:proofErr w:type="spellStart"/>
      <w:r w:rsidRPr="00EF15F6">
        <w:rPr>
          <w:rFonts w:cs="David"/>
          <w:rtl/>
        </w:rPr>
        <w:t>פילבר</w:t>
      </w:r>
      <w:proofErr w:type="spellEnd"/>
      <w:r w:rsidRPr="00EF15F6">
        <w:rPr>
          <w:rFonts w:cs="David"/>
          <w:rtl/>
        </w:rPr>
        <w:t>: "אני זוכר שבא אחד, חבר קיבוץ יבנה היום, שהיה אז מדריך וניסה בכוח לפרק את המעגלים ולערבב אותם ביחד".</w:t>
      </w:r>
      <w:r w:rsidRPr="00EF15F6">
        <w:rPr>
          <w:rStyle w:val="af0"/>
          <w:rFonts w:cs="David"/>
          <w:rtl/>
        </w:rPr>
        <w:footnoteReference w:id="8"/>
      </w:r>
      <w:r w:rsidRPr="00EF15F6">
        <w:rPr>
          <w:rFonts w:cs="David"/>
          <w:rtl/>
        </w:rPr>
        <w:t xml:space="preserve"> </w:t>
      </w:r>
    </w:p>
    <w:p w14:paraId="1ED4491E" w14:textId="77777777" w:rsidR="00E5632D" w:rsidRPr="00EF15F6" w:rsidRDefault="00E5632D" w:rsidP="00E5632D">
      <w:pPr>
        <w:rPr>
          <w:rFonts w:cs="David"/>
          <w:rtl/>
        </w:rPr>
      </w:pPr>
      <w:r w:rsidRPr="00EF15F6">
        <w:rPr>
          <w:rFonts w:cs="David"/>
          <w:rtl/>
        </w:rPr>
        <w:t xml:space="preserve">הנערים של שבט איתנים התאגדו וקראו לעצמם </w:t>
      </w:r>
      <w:proofErr w:type="spellStart"/>
      <w:r w:rsidRPr="00EF15F6">
        <w:rPr>
          <w:rFonts w:cs="David"/>
          <w:rtl/>
        </w:rPr>
        <w:t>גחל"ת</w:t>
      </w:r>
      <w:proofErr w:type="spellEnd"/>
      <w:r w:rsidRPr="00EF15F6">
        <w:rPr>
          <w:rFonts w:cs="David"/>
          <w:rtl/>
        </w:rPr>
        <w:t xml:space="preserve"> = גרעין חלוצים לומדי תורה. הם פרצו את מחסום שתי השנים שהתקיים עד אז, שלאחריהן עזבו התלמידים את הישיבה בכפר </w:t>
      </w:r>
      <w:proofErr w:type="spellStart"/>
      <w:r w:rsidRPr="00EF15F6">
        <w:rPr>
          <w:rFonts w:cs="David"/>
          <w:rtl/>
        </w:rPr>
        <w:t>הרא"ה</w:t>
      </w:r>
      <w:proofErr w:type="spellEnd"/>
      <w:r w:rsidRPr="00EF15F6">
        <w:rPr>
          <w:rFonts w:cs="David"/>
          <w:rtl/>
        </w:rPr>
        <w:t xml:space="preserve"> לטובת מסגרות אחרות, והיו למחזור הראשון שסיים ארבע שנות לימוד. בעקבותיהם הלכו גם המחזורים שבאו אחריהם. בעקבות כך בשלו התנאים להקמת ישיבת המשך ללימוד תורה בציבור </w:t>
      </w:r>
      <w:proofErr w:type="spellStart"/>
      <w:r w:rsidRPr="00EF15F6">
        <w:rPr>
          <w:rFonts w:cs="David"/>
          <w:rtl/>
        </w:rPr>
        <w:t>הציוני־דתי</w:t>
      </w:r>
      <w:proofErr w:type="spellEnd"/>
      <w:r w:rsidRPr="00EF15F6">
        <w:rPr>
          <w:rFonts w:cs="David"/>
          <w:rtl/>
        </w:rPr>
        <w:t>, וכפי שנראה להלן. גרעין זה, שמתחילה היה סודי, הלך וצירף אליו חברים רבים במשך השנים בכל סניפי "בני עקיבא". חבריו התאפיינו בהחלפת הברט בכיפה סרוגה ובהוצאת ציציות החוצה – מה שהראה על "</w:t>
      </w:r>
      <w:proofErr w:type="spellStart"/>
      <w:r w:rsidRPr="00EF15F6">
        <w:rPr>
          <w:rFonts w:cs="David"/>
          <w:rtl/>
        </w:rPr>
        <w:t>גאוות־יחידה</w:t>
      </w:r>
      <w:proofErr w:type="spellEnd"/>
      <w:r w:rsidRPr="00EF15F6">
        <w:rPr>
          <w:rFonts w:cs="David"/>
          <w:rtl/>
        </w:rPr>
        <w:t xml:space="preserve">" בדתיות שלהם. </w:t>
      </w:r>
    </w:p>
    <w:p w14:paraId="5105B4D3" w14:textId="77777777" w:rsidR="00E5632D" w:rsidRPr="00EF15F6" w:rsidRDefault="00E5632D" w:rsidP="00E5632D">
      <w:pPr>
        <w:rPr>
          <w:rFonts w:cs="David"/>
          <w:rtl/>
        </w:rPr>
      </w:pPr>
      <w:r w:rsidRPr="00EF15F6">
        <w:rPr>
          <w:rFonts w:cs="David"/>
          <w:rtl/>
        </w:rPr>
        <w:t xml:space="preserve">חברי </w:t>
      </w:r>
      <w:proofErr w:type="spellStart"/>
      <w:r w:rsidRPr="00EF15F6">
        <w:rPr>
          <w:rFonts w:cs="David"/>
          <w:rtl/>
        </w:rPr>
        <w:t>גחל"ת</w:t>
      </w:r>
      <w:proofErr w:type="spellEnd"/>
      <w:r w:rsidRPr="00EF15F6">
        <w:rPr>
          <w:rFonts w:cs="David"/>
          <w:rtl/>
        </w:rPr>
        <w:t xml:space="preserve"> שאפו לחיים של תורה המעורים במציאות. לכן תגבור לימוד התורה התאים לכל החברים, גם אלו שלא התכוונו לעסוק בחינוך והוראה בעתיד, ובלבד שיהיו בעלי ידע תורני אשר ישפיע על חייהם. </w:t>
      </w:r>
    </w:p>
    <w:p w14:paraId="62F6F3F1" w14:textId="77777777" w:rsidR="00E5632D" w:rsidRPr="00EF15F6" w:rsidRDefault="00E5632D" w:rsidP="00E5632D">
      <w:pPr>
        <w:rPr>
          <w:rFonts w:cs="David"/>
          <w:rtl/>
        </w:rPr>
      </w:pPr>
      <w:r w:rsidRPr="00EF15F6">
        <w:rPr>
          <w:rFonts w:cs="David"/>
          <w:rtl/>
        </w:rPr>
        <w:t>שאיפתם הראשונה – הקמת גרעין נח"ל תורני – התאימה לדרכה של "</w:t>
      </w:r>
      <w:proofErr w:type="spellStart"/>
      <w:r w:rsidRPr="00EF15F6">
        <w:rPr>
          <w:rFonts w:cs="David"/>
          <w:rtl/>
        </w:rPr>
        <w:t>בני־עקיבא</w:t>
      </w:r>
      <w:proofErr w:type="spellEnd"/>
      <w:r w:rsidRPr="00EF15F6">
        <w:rPr>
          <w:rFonts w:cs="David"/>
          <w:rtl/>
        </w:rPr>
        <w:t xml:space="preserve">" באותה עת, שרצתה בשילוב כל חניכי המוסדות שלה בהגשמה התיישבותית. הרב נריה, לעומת זאת, שאב את רעיונותיו מרבו, </w:t>
      </w:r>
      <w:proofErr w:type="spellStart"/>
      <w:r w:rsidRPr="00EF15F6">
        <w:rPr>
          <w:rFonts w:cs="David"/>
          <w:rtl/>
        </w:rPr>
        <w:t>הראי"ה</w:t>
      </w:r>
      <w:proofErr w:type="spellEnd"/>
      <w:r w:rsidRPr="00EF15F6">
        <w:rPr>
          <w:rFonts w:cs="David"/>
          <w:rtl/>
        </w:rPr>
        <w:t xml:space="preserve"> קוק, וראה את שאיפתה הראשונית של הישיבה כשאיפתה של כל ישיבה – להוציא מתוכה גדולי תורה. בהמשך אף השתבח בכך שטובי התלמידים המשיכו ללמוד בישיבות הגדולות, השייכות ל"חרדים", ולמעשה היו אלה שהקימו את ישיבות "</w:t>
      </w:r>
      <w:proofErr w:type="spellStart"/>
      <w:r w:rsidRPr="00EF15F6">
        <w:rPr>
          <w:rFonts w:cs="David"/>
          <w:rtl/>
        </w:rPr>
        <w:t>עזתה</w:t>
      </w:r>
      <w:proofErr w:type="spellEnd"/>
      <w:r w:rsidRPr="00EF15F6">
        <w:rPr>
          <w:rFonts w:cs="David"/>
          <w:rtl/>
        </w:rPr>
        <w:t>", "כפר חסידים" ו"תפרח".</w:t>
      </w:r>
      <w:r w:rsidRPr="00EF15F6">
        <w:rPr>
          <w:rStyle w:val="af0"/>
          <w:rFonts w:cs="David"/>
          <w:rtl/>
        </w:rPr>
        <w:footnoteReference w:id="9"/>
      </w:r>
    </w:p>
    <w:p w14:paraId="36F956F8" w14:textId="77777777" w:rsidR="00E5632D" w:rsidRPr="00EF15F6" w:rsidRDefault="00E5632D" w:rsidP="00E5632D">
      <w:pPr>
        <w:rPr>
          <w:rFonts w:cs="David"/>
          <w:rtl/>
        </w:rPr>
      </w:pPr>
      <w:r w:rsidRPr="00EF15F6">
        <w:rPr>
          <w:rFonts w:cs="David"/>
          <w:rtl/>
        </w:rPr>
        <w:t xml:space="preserve">הנהלת "בני עקיבא" השכילה להבין כי עליה להתברך בכוחותיהם של נערי </w:t>
      </w:r>
      <w:proofErr w:type="spellStart"/>
      <w:r w:rsidRPr="00EF15F6">
        <w:rPr>
          <w:rFonts w:cs="David"/>
          <w:rtl/>
        </w:rPr>
        <w:t>גחל"ת</w:t>
      </w:r>
      <w:proofErr w:type="spellEnd"/>
      <w:r w:rsidRPr="00EF15F6">
        <w:rPr>
          <w:rFonts w:cs="David"/>
          <w:rtl/>
        </w:rPr>
        <w:t xml:space="preserve"> ולסייע בידם לערוך את השינויים הנזכרים, שתרמו להעלאת הרמה הדתית בקרב חבריה. אלמלא כן, סביר להניח שכשליש מבוגרי הישיבות התיכוניות היו ממשיכים לפנות לכיוון הישיבות ה"חרדיות", ומגמת איבוד הכוחות התורניים בציבור זה </w:t>
      </w:r>
      <w:proofErr w:type="spellStart"/>
      <w:r w:rsidRPr="00EF15F6">
        <w:rPr>
          <w:rFonts w:cs="David"/>
          <w:rtl/>
        </w:rPr>
        <w:t>היתה</w:t>
      </w:r>
      <w:proofErr w:type="spellEnd"/>
      <w:r w:rsidRPr="00EF15F6">
        <w:rPr>
          <w:rFonts w:cs="David"/>
          <w:rtl/>
        </w:rPr>
        <w:t xml:space="preserve"> נמשכת והולכת.</w:t>
      </w:r>
      <w:r w:rsidRPr="00EF15F6">
        <w:rPr>
          <w:rStyle w:val="af0"/>
          <w:rFonts w:cs="David"/>
          <w:rtl/>
        </w:rPr>
        <w:footnoteReference w:id="10"/>
      </w:r>
      <w:r w:rsidRPr="00EF15F6">
        <w:rPr>
          <w:rFonts w:cs="David"/>
          <w:rtl/>
        </w:rPr>
        <w:t xml:space="preserve"> ככלל, כפי שמגדיר הרב יעקב אריאל</w:t>
      </w:r>
      <w:r w:rsidRPr="00EF15F6">
        <w:rPr>
          <w:rStyle w:val="af0"/>
          <w:rFonts w:cs="David"/>
          <w:rtl/>
        </w:rPr>
        <w:footnoteReference w:id="11"/>
      </w:r>
      <w:r w:rsidRPr="00EF15F6">
        <w:rPr>
          <w:rFonts w:cs="David"/>
          <w:rtl/>
        </w:rPr>
        <w:t xml:space="preserve"> בוגר שבט 'מתנחלים' (הצעיר בשנה מחברי 'איתנים'), כל היזמות הללו באו מהתלמידים או מי שהיו מעט מבוגרים מהם, ולא מדמויות רבניות וסמכותיות.</w:t>
      </w:r>
      <w:r w:rsidRPr="00EF15F6">
        <w:rPr>
          <w:rStyle w:val="af0"/>
          <w:rFonts w:cs="David"/>
          <w:rtl/>
        </w:rPr>
        <w:footnoteReference w:id="12"/>
      </w:r>
      <w:r w:rsidRPr="00EF15F6">
        <w:rPr>
          <w:rFonts w:cs="David"/>
          <w:rtl/>
        </w:rPr>
        <w:t xml:space="preserve"> </w:t>
      </w:r>
    </w:p>
    <w:p w14:paraId="1A7C5F42" w14:textId="77777777" w:rsidR="00CA40E1" w:rsidRDefault="00CA40E1"/>
    <w:sectPr w:rsidR="00CA40E1" w:rsidSect="008D70F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E52F5" w14:textId="77777777" w:rsidR="00BC716B" w:rsidRDefault="00BC716B" w:rsidP="00E5632D">
      <w:pPr>
        <w:spacing w:line="240" w:lineRule="auto"/>
      </w:pPr>
      <w:r>
        <w:separator/>
      </w:r>
    </w:p>
  </w:endnote>
  <w:endnote w:type="continuationSeparator" w:id="0">
    <w:p w14:paraId="76F2BECB" w14:textId="77777777" w:rsidR="00BC716B" w:rsidRDefault="00BC716B" w:rsidP="00E56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PFT_Frank">
    <w:altName w:val="Courier New"/>
    <w:charset w:val="B1"/>
    <w:family w:val="auto"/>
    <w:pitch w:val="variable"/>
    <w:sig w:usb0="80000827" w:usb1="5000004A" w:usb2="00000000" w:usb3="00000000" w:csb0="00000020"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BBAB6" w14:textId="77777777" w:rsidR="00BC716B" w:rsidRDefault="00BC716B" w:rsidP="00E5632D">
      <w:pPr>
        <w:spacing w:line="240" w:lineRule="auto"/>
      </w:pPr>
      <w:r>
        <w:separator/>
      </w:r>
    </w:p>
  </w:footnote>
  <w:footnote w:type="continuationSeparator" w:id="0">
    <w:p w14:paraId="7EA687F7" w14:textId="77777777" w:rsidR="00BC716B" w:rsidRDefault="00BC716B" w:rsidP="00E5632D">
      <w:pPr>
        <w:spacing w:line="240" w:lineRule="auto"/>
      </w:pPr>
      <w:r>
        <w:continuationSeparator/>
      </w:r>
    </w:p>
  </w:footnote>
  <w:footnote w:id="1">
    <w:p w14:paraId="168A2995" w14:textId="77777777" w:rsidR="00E5632D" w:rsidRDefault="00E5632D" w:rsidP="00E5632D">
      <w:pPr>
        <w:pStyle w:val="ae"/>
        <w:rPr>
          <w:rtl/>
        </w:rPr>
      </w:pPr>
      <w:r w:rsidRPr="00D73DE6">
        <w:rPr>
          <w:rStyle w:val="af0"/>
        </w:rPr>
        <w:footnoteRef/>
      </w:r>
      <w:r>
        <w:rPr>
          <w:rStyle w:val="af0"/>
          <w:rFonts w:hint="cs"/>
          <w:rtl/>
        </w:rPr>
        <w:t>.</w:t>
      </w:r>
      <w:r>
        <w:rPr>
          <w:rStyle w:val="af0"/>
          <w:rFonts w:hint="cs"/>
          <w:rtl/>
        </w:rPr>
        <w:tab/>
      </w:r>
      <w:r>
        <w:rPr>
          <w:rFonts w:hint="cs"/>
          <w:rtl/>
        </w:rPr>
        <w:t xml:space="preserve">הפיכת הישיבה התיכונית לתנועה המתרחבת לכדי רשת ישיבות </w:t>
      </w:r>
      <w:proofErr w:type="spellStart"/>
      <w:r>
        <w:rPr>
          <w:rFonts w:hint="cs"/>
          <w:rtl/>
        </w:rPr>
        <w:t>פנימייתיות</w:t>
      </w:r>
      <w:proofErr w:type="spellEnd"/>
      <w:r>
        <w:rPr>
          <w:rFonts w:hint="cs"/>
          <w:rtl/>
        </w:rPr>
        <w:t xml:space="preserve"> המנתקת בין התלמיד לבית הוריו על מנת לעצב את אישיותו </w:t>
      </w:r>
      <w:r>
        <w:rPr>
          <w:rtl/>
        </w:rPr>
        <w:t>–</w:t>
      </w:r>
      <w:r>
        <w:rPr>
          <w:rFonts w:hint="cs"/>
          <w:rtl/>
        </w:rPr>
        <w:t xml:space="preserve"> נעוצה בסגנון ישיבות </w:t>
      </w:r>
      <w:proofErr w:type="spellStart"/>
      <w:r>
        <w:rPr>
          <w:rFonts w:hint="cs"/>
          <w:rtl/>
        </w:rPr>
        <w:t>נובהרדוק</w:t>
      </w:r>
      <w:proofErr w:type="spellEnd"/>
      <w:r>
        <w:rPr>
          <w:rFonts w:hint="cs"/>
          <w:rtl/>
        </w:rPr>
        <w:t xml:space="preserve">. גם שיתוף התלמידים בהחלטות ובמשימות, באחריות ובפעילות </w:t>
      </w:r>
      <w:r>
        <w:rPr>
          <w:rtl/>
        </w:rPr>
        <w:t>–</w:t>
      </w:r>
      <w:r>
        <w:rPr>
          <w:rFonts w:hint="cs"/>
          <w:rtl/>
        </w:rPr>
        <w:t xml:space="preserve"> דומה לדגם זה. ראה גאולה </w:t>
      </w:r>
      <w:r w:rsidRPr="00D73DE6">
        <w:rPr>
          <w:rFonts w:hint="cs"/>
          <w:rtl/>
        </w:rPr>
        <w:t xml:space="preserve">מילס, </w:t>
      </w:r>
      <w:r>
        <w:rPr>
          <w:rFonts w:hint="cs"/>
          <w:rtl/>
        </w:rPr>
        <w:t>"</w:t>
      </w:r>
      <w:r w:rsidRPr="00D73DE6">
        <w:rPr>
          <w:rtl/>
        </w:rPr>
        <w:t xml:space="preserve">השפעת תנועת </w:t>
      </w:r>
      <w:proofErr w:type="spellStart"/>
      <w:r w:rsidRPr="00D73DE6">
        <w:rPr>
          <w:rtl/>
        </w:rPr>
        <w:t>נובהרדוק</w:t>
      </w:r>
      <w:proofErr w:type="spellEnd"/>
      <w:r w:rsidRPr="00D73DE6">
        <w:rPr>
          <w:rtl/>
        </w:rPr>
        <w:t xml:space="preserve"> על ישיבת בני עקיבא</w:t>
      </w:r>
      <w:r>
        <w:rPr>
          <w:rFonts w:hint="cs"/>
          <w:rtl/>
        </w:rPr>
        <w:t>"</w:t>
      </w:r>
      <w:r w:rsidRPr="00D73DE6">
        <w:rPr>
          <w:rFonts w:hint="cs"/>
          <w:rtl/>
        </w:rPr>
        <w:t xml:space="preserve">, </w:t>
      </w:r>
      <w:r w:rsidRPr="00D73DE6">
        <w:rPr>
          <w:rFonts w:hint="cs"/>
          <w:b/>
          <w:bCs/>
          <w:rtl/>
        </w:rPr>
        <w:t>מכלול</w:t>
      </w:r>
      <w:r>
        <w:rPr>
          <w:rFonts w:hint="cs"/>
          <w:rtl/>
        </w:rPr>
        <w:t xml:space="preserve"> (ירושלים: מכללת ירושלים לבנות, 2019), עמ'</w:t>
      </w:r>
      <w:r>
        <w:rPr>
          <w:rFonts w:cs="Cambria" w:hint="eastAsia"/>
          <w:rtl/>
        </w:rPr>
        <w:t> </w:t>
      </w:r>
      <w:r>
        <w:rPr>
          <w:rFonts w:hint="cs"/>
          <w:rtl/>
        </w:rPr>
        <w:t>43</w:t>
      </w:r>
      <w:r>
        <w:rPr>
          <w:rtl/>
        </w:rPr>
        <w:noBreakHyphen/>
      </w:r>
      <w:r>
        <w:rPr>
          <w:rFonts w:hint="cs"/>
          <w:rtl/>
        </w:rPr>
        <w:t>122.</w:t>
      </w:r>
    </w:p>
  </w:footnote>
  <w:footnote w:id="2">
    <w:p w14:paraId="4D6A0987" w14:textId="77777777" w:rsidR="00E5632D" w:rsidRPr="008D0E32" w:rsidRDefault="00E5632D" w:rsidP="00E5632D">
      <w:pPr>
        <w:pStyle w:val="ae"/>
        <w:rPr>
          <w:rtl/>
        </w:rPr>
      </w:pPr>
      <w:r w:rsidRPr="008D0E32">
        <w:rPr>
          <w:rStyle w:val="af0"/>
        </w:rPr>
        <w:footnoteRef/>
      </w:r>
      <w:r>
        <w:rPr>
          <w:rtl/>
        </w:rPr>
        <w:t>.</w:t>
      </w:r>
      <w:r>
        <w:rPr>
          <w:rtl/>
        </w:rPr>
        <w:tab/>
      </w:r>
      <w:r w:rsidRPr="008D0E32">
        <w:rPr>
          <w:rtl/>
        </w:rPr>
        <w:t>תרע"ג</w:t>
      </w:r>
      <w:r w:rsidRPr="008D0E32">
        <w:rPr>
          <w:rFonts w:hint="cs"/>
          <w:rtl/>
        </w:rPr>
        <w:t>-תשנ"ה (</w:t>
      </w:r>
      <w:r w:rsidRPr="008D0E32">
        <w:rPr>
          <w:rtl/>
        </w:rPr>
        <w:t>1913</w:t>
      </w:r>
      <w:r w:rsidRPr="008D0E32">
        <w:rPr>
          <w:rtl/>
        </w:rPr>
        <w:noBreakHyphen/>
        <w:t>1994) היה מייסד וראש ישיבת נתיב מאיר.</w:t>
      </w:r>
      <w:r w:rsidRPr="008D0E32">
        <w:rPr>
          <w:rFonts w:hint="cs"/>
          <w:rtl/>
        </w:rPr>
        <w:t xml:space="preserve"> </w:t>
      </w:r>
      <w:r w:rsidRPr="008D0E32">
        <w:rPr>
          <w:rtl/>
        </w:rPr>
        <w:t xml:space="preserve">מגיל 12 החל ללמוד בישיבת </w:t>
      </w:r>
      <w:proofErr w:type="spellStart"/>
      <w:r w:rsidRPr="008D0E32">
        <w:rPr>
          <w:rtl/>
        </w:rPr>
        <w:t>מיר</w:t>
      </w:r>
      <w:proofErr w:type="spellEnd"/>
      <w:r w:rsidRPr="008D0E32">
        <w:rPr>
          <w:rtl/>
        </w:rPr>
        <w:t xml:space="preserve"> שבפולין, שם התקרב מאוד ל</w:t>
      </w:r>
      <w:r w:rsidRPr="008D0E32">
        <w:rPr>
          <w:rFonts w:hint="cs"/>
          <w:rtl/>
        </w:rPr>
        <w:t>משגיח המפורסם ה</w:t>
      </w:r>
      <w:r w:rsidRPr="008D0E32">
        <w:rPr>
          <w:rtl/>
        </w:rPr>
        <w:t xml:space="preserve">רב ירוחם </w:t>
      </w:r>
      <w:proofErr w:type="spellStart"/>
      <w:r w:rsidRPr="008D0E32">
        <w:rPr>
          <w:rtl/>
        </w:rPr>
        <w:t>ליבוביץ</w:t>
      </w:r>
      <w:proofErr w:type="spellEnd"/>
      <w:r w:rsidRPr="008D0E32">
        <w:rPr>
          <w:rtl/>
        </w:rPr>
        <w:t xml:space="preserve">, ולמד בחברותא עם הרב חיים </w:t>
      </w:r>
      <w:proofErr w:type="spellStart"/>
      <w:r w:rsidRPr="008D0E32">
        <w:rPr>
          <w:rtl/>
        </w:rPr>
        <w:t>שמואלביץ</w:t>
      </w:r>
      <w:proofErr w:type="spellEnd"/>
      <w:r w:rsidRPr="008D0E32">
        <w:rPr>
          <w:rFonts w:hint="cs"/>
          <w:rtl/>
        </w:rPr>
        <w:t xml:space="preserve">, לימים ראש ישיבת </w:t>
      </w:r>
      <w:proofErr w:type="spellStart"/>
      <w:r w:rsidRPr="008D0E32">
        <w:rPr>
          <w:rFonts w:hint="cs"/>
          <w:rtl/>
        </w:rPr>
        <w:t>מיר</w:t>
      </w:r>
      <w:proofErr w:type="spellEnd"/>
      <w:r w:rsidRPr="008D0E32">
        <w:rPr>
          <w:rFonts w:hint="cs"/>
          <w:rtl/>
        </w:rPr>
        <w:t xml:space="preserve"> בישראל. כשעלה ארצה בשנת תרצ"ה עבד כפועל בנין ואח"כ בחקלאות בכפר </w:t>
      </w:r>
      <w:proofErr w:type="spellStart"/>
      <w:r w:rsidRPr="008D0E32">
        <w:rPr>
          <w:rFonts w:hint="cs"/>
          <w:rtl/>
        </w:rPr>
        <w:t>הרא"ה</w:t>
      </w:r>
      <w:proofErr w:type="spellEnd"/>
      <w:r w:rsidRPr="008D0E32">
        <w:rPr>
          <w:rFonts w:hint="cs"/>
          <w:rtl/>
        </w:rPr>
        <w:t>, שם השתלב בצוות הישיבה.</w:t>
      </w:r>
      <w:r>
        <w:rPr>
          <w:rFonts w:hint="cs"/>
          <w:rtl/>
        </w:rPr>
        <w:t xml:space="preserve"> </w:t>
      </w:r>
      <w:r w:rsidRPr="003C0C0B">
        <w:rPr>
          <w:rtl/>
        </w:rPr>
        <w:t xml:space="preserve">ראה </w:t>
      </w:r>
      <w:r>
        <w:rPr>
          <w:rFonts w:hint="cs"/>
          <w:rtl/>
        </w:rPr>
        <w:t xml:space="preserve">אודותיו: </w:t>
      </w:r>
      <w:r w:rsidRPr="003C0C0B">
        <w:rPr>
          <w:rtl/>
        </w:rPr>
        <w:t>אביעד הכהן</w:t>
      </w:r>
      <w:r>
        <w:rPr>
          <w:rFonts w:hint="cs"/>
          <w:rtl/>
        </w:rPr>
        <w:t>,</w:t>
      </w:r>
      <w:r w:rsidRPr="003C0C0B">
        <w:rPr>
          <w:rtl/>
        </w:rPr>
        <w:t xml:space="preserve"> </w:t>
      </w:r>
      <w:r w:rsidRPr="003C0C0B">
        <w:rPr>
          <w:b/>
          <w:bCs/>
          <w:rtl/>
        </w:rPr>
        <w:t>ארי בין העולמות</w:t>
      </w:r>
      <w:r w:rsidRPr="003C0C0B">
        <w:rPr>
          <w:rtl/>
        </w:rPr>
        <w:t xml:space="preserve"> </w:t>
      </w:r>
      <w:r>
        <w:rPr>
          <w:rFonts w:hint="cs"/>
          <w:rtl/>
        </w:rPr>
        <w:t>(</w:t>
      </w:r>
      <w:r w:rsidRPr="003C0C0B">
        <w:rPr>
          <w:rtl/>
        </w:rPr>
        <w:t>ראשל"צ</w:t>
      </w:r>
      <w:r>
        <w:rPr>
          <w:rFonts w:hint="cs"/>
          <w:rtl/>
        </w:rPr>
        <w:t xml:space="preserve">: </w:t>
      </w:r>
      <w:r w:rsidRPr="003C0C0B">
        <w:rPr>
          <w:rtl/>
        </w:rPr>
        <w:t>משכל</w:t>
      </w:r>
      <w:r>
        <w:rPr>
          <w:rFonts w:hint="cs"/>
          <w:rtl/>
        </w:rPr>
        <w:t>,</w:t>
      </w:r>
      <w:r w:rsidRPr="003C0C0B">
        <w:rPr>
          <w:rtl/>
        </w:rPr>
        <w:t>‏ 2018</w:t>
      </w:r>
      <w:r>
        <w:rPr>
          <w:rFonts w:hint="cs"/>
          <w:rtl/>
        </w:rPr>
        <w:t>).</w:t>
      </w:r>
    </w:p>
  </w:footnote>
  <w:footnote w:id="3">
    <w:p w14:paraId="77FC560F" w14:textId="3D4ABD59" w:rsidR="00E5632D" w:rsidRPr="008D0E32" w:rsidRDefault="00E5632D" w:rsidP="00E5632D">
      <w:pPr>
        <w:pStyle w:val="ae"/>
      </w:pPr>
      <w:r w:rsidRPr="008D0E32">
        <w:rPr>
          <w:rStyle w:val="af0"/>
        </w:rPr>
        <w:footnoteRef/>
      </w:r>
      <w:r>
        <w:rPr>
          <w:rtl/>
        </w:rPr>
        <w:t>.</w:t>
      </w:r>
      <w:r>
        <w:rPr>
          <w:rtl/>
        </w:rPr>
        <w:tab/>
      </w:r>
      <w:r w:rsidR="004F31B6">
        <w:rPr>
          <w:rFonts w:hint="cs"/>
          <w:rtl/>
        </w:rPr>
        <w:t>1935-2024,</w:t>
      </w:r>
      <w:r w:rsidRPr="008D0E32">
        <w:rPr>
          <w:rFonts w:hint="cs"/>
          <w:rtl/>
        </w:rPr>
        <w:t xml:space="preserve"> בוגר </w:t>
      </w:r>
      <w:proofErr w:type="spellStart"/>
      <w:r w:rsidRPr="008D0E32">
        <w:rPr>
          <w:rFonts w:hint="cs"/>
          <w:rtl/>
        </w:rPr>
        <w:t>מדרשיית</w:t>
      </w:r>
      <w:proofErr w:type="spellEnd"/>
      <w:r w:rsidRPr="008D0E32">
        <w:rPr>
          <w:rFonts w:hint="cs"/>
          <w:rtl/>
        </w:rPr>
        <w:t xml:space="preserve"> נעם, ד"ר לחינוך וספרות עברית. </w:t>
      </w:r>
    </w:p>
  </w:footnote>
  <w:footnote w:id="4">
    <w:p w14:paraId="267E6B5F" w14:textId="77777777" w:rsidR="00E5632D" w:rsidRDefault="00E5632D" w:rsidP="00E5632D">
      <w:pPr>
        <w:pStyle w:val="ae"/>
        <w:rPr>
          <w:rtl/>
        </w:rPr>
      </w:pPr>
      <w:r w:rsidRPr="00B849E2">
        <w:footnoteRef/>
      </w:r>
      <w:r>
        <w:rPr>
          <w:rtl/>
        </w:rPr>
        <w:t xml:space="preserve"> </w:t>
      </w:r>
      <w:r w:rsidRPr="00B849E2">
        <w:rPr>
          <w:rtl/>
        </w:rPr>
        <w:t xml:space="preserve">את לימוד ההיסטוריה ראה </w:t>
      </w:r>
      <w:proofErr w:type="spellStart"/>
      <w:r w:rsidRPr="00B849E2">
        <w:rPr>
          <w:rtl/>
        </w:rPr>
        <w:t>הרצי"ה</w:t>
      </w:r>
      <w:proofErr w:type="spellEnd"/>
      <w:r w:rsidRPr="00B849E2">
        <w:rPr>
          <w:rtl/>
        </w:rPr>
        <w:t xml:space="preserve"> כחשוב במיוחד ללימוד האמונה, לכן הנחה את הרב </w:t>
      </w:r>
      <w:proofErr w:type="spellStart"/>
      <w:r w:rsidRPr="00B849E2">
        <w:rPr>
          <w:rtl/>
        </w:rPr>
        <w:t>ברמסון</w:t>
      </w:r>
      <w:proofErr w:type="spellEnd"/>
      <w:r w:rsidRPr="00B849E2">
        <w:rPr>
          <w:rtl/>
        </w:rPr>
        <w:t xml:space="preserve"> לכתוב סדרת ספרים שתתאים לכך, "ימות עולם". הוא גם </w:t>
      </w:r>
      <w:r w:rsidRPr="005557B6">
        <w:rPr>
          <w:rtl/>
        </w:rPr>
        <w:t>הורה לו להתייחס לתפקידו זה כ"רב" ולא כ"מורה", מפני היחס הרוחני שבהוראת מקצוע זה ברוח היהדות.</w:t>
      </w:r>
    </w:p>
  </w:footnote>
  <w:footnote w:id="5">
    <w:p w14:paraId="5AE9E0F8" w14:textId="77777777" w:rsidR="00E5632D" w:rsidRPr="008D0E32" w:rsidRDefault="00E5632D" w:rsidP="00E5632D">
      <w:pPr>
        <w:pStyle w:val="ae"/>
        <w:rPr>
          <w:rtl/>
        </w:rPr>
      </w:pPr>
      <w:r w:rsidRPr="008D0E32">
        <w:rPr>
          <w:rStyle w:val="af0"/>
        </w:rPr>
        <w:footnoteRef/>
      </w:r>
      <w:r>
        <w:rPr>
          <w:rFonts w:hint="cs"/>
          <w:rtl/>
        </w:rPr>
        <w:t>.</w:t>
      </w:r>
      <w:r>
        <w:rPr>
          <w:rFonts w:hint="cs"/>
          <w:rtl/>
        </w:rPr>
        <w:tab/>
      </w:r>
      <w:r w:rsidRPr="008D0E32">
        <w:rPr>
          <w:rFonts w:hint="cs"/>
          <w:rtl/>
        </w:rPr>
        <w:t xml:space="preserve">הרב אלישע אבינר, "לימוד שפות זרות", אתר </w:t>
      </w:r>
      <w:r w:rsidRPr="008D0E32">
        <w:rPr>
          <w:rFonts w:hint="eastAsia"/>
          <w:b/>
          <w:bCs/>
          <w:rtl/>
        </w:rPr>
        <w:t>ערוץ</w:t>
      </w:r>
      <w:r w:rsidRPr="008D0E32">
        <w:rPr>
          <w:b/>
          <w:bCs/>
          <w:rtl/>
        </w:rPr>
        <w:t xml:space="preserve"> </w:t>
      </w:r>
      <w:r w:rsidRPr="008D0E32">
        <w:rPr>
          <w:rFonts w:hint="eastAsia"/>
          <w:b/>
          <w:bCs/>
          <w:rtl/>
        </w:rPr>
        <w:t>מאיר</w:t>
      </w:r>
      <w:r w:rsidRPr="008D0E32">
        <w:rPr>
          <w:rFonts w:hint="cs"/>
          <w:rtl/>
        </w:rPr>
        <w:t>, 12.7.22.</w:t>
      </w:r>
    </w:p>
  </w:footnote>
  <w:footnote w:id="6">
    <w:p w14:paraId="5968728B" w14:textId="77777777" w:rsidR="00E5632D" w:rsidRPr="008D0E32" w:rsidRDefault="00E5632D" w:rsidP="00E5632D">
      <w:pPr>
        <w:pStyle w:val="ae"/>
      </w:pPr>
      <w:r w:rsidRPr="008D0E32">
        <w:rPr>
          <w:rStyle w:val="af0"/>
        </w:rPr>
        <w:footnoteRef/>
      </w:r>
      <w:r>
        <w:rPr>
          <w:rtl/>
        </w:rPr>
        <w:t>.</w:t>
      </w:r>
      <w:r>
        <w:rPr>
          <w:rtl/>
        </w:rPr>
        <w:tab/>
      </w:r>
      <w:r w:rsidRPr="008D0E32">
        <w:rPr>
          <w:rFonts w:hint="cs"/>
          <w:rtl/>
        </w:rPr>
        <w:t xml:space="preserve">ישנו ויכוח מה אחוז העוזבים את הדת בציבור </w:t>
      </w:r>
      <w:proofErr w:type="spellStart"/>
      <w:r w:rsidRPr="008D0E32">
        <w:rPr>
          <w:rFonts w:hint="cs"/>
          <w:rtl/>
        </w:rPr>
        <w:t>הדתי</w:t>
      </w:r>
      <w:r w:rsidRPr="008D0E32">
        <w:rPr>
          <w:rFonts w:hint="eastAsia"/>
          <w:rtl/>
        </w:rPr>
        <w:t>־</w:t>
      </w:r>
      <w:r w:rsidRPr="008D0E32">
        <w:rPr>
          <w:rFonts w:hint="cs"/>
          <w:rtl/>
        </w:rPr>
        <w:t>לאומי</w:t>
      </w:r>
      <w:proofErr w:type="spellEnd"/>
      <w:r w:rsidRPr="008D0E32">
        <w:rPr>
          <w:rFonts w:hint="cs"/>
          <w:rtl/>
        </w:rPr>
        <w:t xml:space="preserve">, מה שמכונה </w:t>
      </w:r>
      <w:proofErr w:type="spellStart"/>
      <w:r w:rsidRPr="008D0E32">
        <w:rPr>
          <w:rFonts w:hint="cs"/>
          <w:rtl/>
        </w:rPr>
        <w:t>דתלשי"ם</w:t>
      </w:r>
      <w:proofErr w:type="spellEnd"/>
      <w:r w:rsidRPr="008D0E32">
        <w:rPr>
          <w:rFonts w:hint="cs"/>
          <w:rtl/>
        </w:rPr>
        <w:t xml:space="preserve">, אך עצם העובדה מוסכמת על </w:t>
      </w:r>
      <w:proofErr w:type="spellStart"/>
      <w:r w:rsidRPr="008D0E32">
        <w:rPr>
          <w:rFonts w:hint="cs"/>
          <w:rtl/>
        </w:rPr>
        <w:t>הכל</w:t>
      </w:r>
      <w:proofErr w:type="spellEnd"/>
      <w:r w:rsidRPr="008D0E32">
        <w:rPr>
          <w:rFonts w:hint="cs"/>
          <w:rtl/>
        </w:rPr>
        <w:t xml:space="preserve">. אמנם אין כאן מקומו של דיון בנושא זה. </w:t>
      </w:r>
    </w:p>
  </w:footnote>
  <w:footnote w:id="7">
    <w:p w14:paraId="16FF2048" w14:textId="77777777" w:rsidR="00E5632D" w:rsidRPr="008D0E32" w:rsidRDefault="00E5632D" w:rsidP="00E5632D">
      <w:pPr>
        <w:pStyle w:val="ae"/>
        <w:rPr>
          <w:rtl/>
        </w:rPr>
      </w:pPr>
      <w:r w:rsidRPr="008D0E32">
        <w:rPr>
          <w:rStyle w:val="af0"/>
        </w:rPr>
        <w:footnoteRef/>
      </w:r>
      <w:r>
        <w:rPr>
          <w:rtl/>
        </w:rPr>
        <w:t>.</w:t>
      </w:r>
      <w:r>
        <w:rPr>
          <w:rtl/>
        </w:rPr>
        <w:tab/>
      </w:r>
      <w:r w:rsidRPr="008D0E32">
        <w:rPr>
          <w:rFonts w:hint="cs"/>
          <w:rtl/>
        </w:rPr>
        <w:t xml:space="preserve">יעקב </w:t>
      </w:r>
      <w:proofErr w:type="spellStart"/>
      <w:r w:rsidRPr="008D0E32">
        <w:rPr>
          <w:rtl/>
        </w:rPr>
        <w:t>פילבר</w:t>
      </w:r>
      <w:proofErr w:type="spellEnd"/>
      <w:r w:rsidRPr="008D0E32">
        <w:rPr>
          <w:rtl/>
        </w:rPr>
        <w:t xml:space="preserve">, "סיכום השנה החולפת", </w:t>
      </w:r>
      <w:r w:rsidRPr="008D0E32">
        <w:rPr>
          <w:b/>
          <w:bCs/>
          <w:rtl/>
        </w:rPr>
        <w:t>גחלת</w:t>
      </w:r>
      <w:r w:rsidRPr="008D0E32">
        <w:rPr>
          <w:rFonts w:hint="cs"/>
          <w:rtl/>
        </w:rPr>
        <w:t>, גיליון</w:t>
      </w:r>
      <w:r w:rsidRPr="008D0E32">
        <w:rPr>
          <w:rFonts w:ascii="Cambria" w:hAnsi="Cambria" w:cs="Cambria" w:hint="cs"/>
          <w:rtl/>
        </w:rPr>
        <w:t> </w:t>
      </w:r>
      <w:r w:rsidRPr="008D0E32">
        <w:rPr>
          <w:rtl/>
        </w:rPr>
        <w:t>ב, תשרי תשי"ג, עמ'</w:t>
      </w:r>
      <w:r w:rsidRPr="008D0E32">
        <w:rPr>
          <w:rFonts w:ascii="Cambria" w:hAnsi="Cambria" w:cs="Cambria" w:hint="cs"/>
          <w:rtl/>
        </w:rPr>
        <w:t> </w:t>
      </w:r>
      <w:r w:rsidRPr="008D0E32">
        <w:rPr>
          <w:rtl/>
        </w:rPr>
        <w:t>3</w:t>
      </w:r>
      <w:r w:rsidRPr="008D0E32">
        <w:rPr>
          <w:rtl/>
        </w:rPr>
        <w:noBreakHyphen/>
        <w:t>4.</w:t>
      </w:r>
    </w:p>
  </w:footnote>
  <w:footnote w:id="8">
    <w:p w14:paraId="54861F34" w14:textId="77777777" w:rsidR="00E5632D" w:rsidRPr="008D0E32" w:rsidRDefault="00E5632D" w:rsidP="00E5632D">
      <w:pPr>
        <w:pStyle w:val="ae"/>
      </w:pPr>
      <w:r w:rsidRPr="008D0E32">
        <w:rPr>
          <w:rStyle w:val="af0"/>
        </w:rPr>
        <w:footnoteRef/>
      </w:r>
      <w:r>
        <w:rPr>
          <w:rtl/>
        </w:rPr>
        <w:t>.</w:t>
      </w:r>
      <w:r>
        <w:rPr>
          <w:rtl/>
        </w:rPr>
        <w:tab/>
      </w:r>
      <w:r w:rsidRPr="008D0E32">
        <w:rPr>
          <w:rFonts w:hint="cs"/>
          <w:rtl/>
        </w:rPr>
        <w:t>כהן, היחסים בתוך הציונות הדתית בראי החינוך</w:t>
      </w:r>
      <w:r w:rsidRPr="008D0E32">
        <w:rPr>
          <w:rtl/>
        </w:rPr>
        <w:t xml:space="preserve">, </w:t>
      </w:r>
      <w:r w:rsidRPr="008D0E32">
        <w:rPr>
          <w:rFonts w:hint="eastAsia"/>
          <w:rtl/>
        </w:rPr>
        <w:t>עמ</w:t>
      </w:r>
      <w:r w:rsidRPr="008D0E32">
        <w:rPr>
          <w:rtl/>
        </w:rPr>
        <w:t>'</w:t>
      </w:r>
      <w:r w:rsidRPr="008D0E32">
        <w:rPr>
          <w:rFonts w:ascii="Cambria" w:hAnsi="Cambria" w:cs="Cambria" w:hint="cs"/>
          <w:rtl/>
        </w:rPr>
        <w:t> </w:t>
      </w:r>
      <w:r w:rsidRPr="008D0E32">
        <w:rPr>
          <w:rtl/>
        </w:rPr>
        <w:t>78</w:t>
      </w:r>
      <w:r w:rsidRPr="008D0E32">
        <w:rPr>
          <w:rFonts w:hint="cs"/>
          <w:rtl/>
        </w:rPr>
        <w:t>.</w:t>
      </w:r>
    </w:p>
  </w:footnote>
  <w:footnote w:id="9">
    <w:p w14:paraId="3867FECF" w14:textId="77777777" w:rsidR="00E5632D" w:rsidRPr="008D0E32" w:rsidRDefault="00E5632D" w:rsidP="00E5632D">
      <w:pPr>
        <w:pStyle w:val="ae"/>
        <w:rPr>
          <w:rtl/>
        </w:rPr>
      </w:pPr>
      <w:r w:rsidRPr="008D0E32">
        <w:rPr>
          <w:rStyle w:val="af0"/>
        </w:rPr>
        <w:footnoteRef/>
      </w:r>
      <w:r>
        <w:rPr>
          <w:rtl/>
        </w:rPr>
        <w:t>.</w:t>
      </w:r>
      <w:r>
        <w:rPr>
          <w:rtl/>
        </w:rPr>
        <w:tab/>
      </w:r>
      <w:r w:rsidRPr="008D0E32">
        <w:rPr>
          <w:rFonts w:hint="eastAsia"/>
          <w:b/>
          <w:bCs/>
          <w:rtl/>
        </w:rPr>
        <w:t>שם</w:t>
      </w:r>
      <w:r w:rsidRPr="008D0E32">
        <w:rPr>
          <w:rFonts w:hint="cs"/>
          <w:rtl/>
        </w:rPr>
        <w:t>, עמ'</w:t>
      </w:r>
      <w:r w:rsidRPr="008D0E32">
        <w:rPr>
          <w:rFonts w:ascii="Cambria" w:hAnsi="Cambria" w:cs="Cambria" w:hint="cs"/>
          <w:rtl/>
        </w:rPr>
        <w:t> </w:t>
      </w:r>
      <w:r w:rsidRPr="008D0E32">
        <w:rPr>
          <w:rFonts w:hint="cs"/>
          <w:rtl/>
        </w:rPr>
        <w:t>34.</w:t>
      </w:r>
    </w:p>
  </w:footnote>
  <w:footnote w:id="10">
    <w:p w14:paraId="08A71AC7" w14:textId="77777777" w:rsidR="00E5632D" w:rsidRPr="008D0E32" w:rsidRDefault="00E5632D" w:rsidP="00E5632D">
      <w:pPr>
        <w:pStyle w:val="ae"/>
        <w:rPr>
          <w:rtl/>
        </w:rPr>
      </w:pPr>
      <w:r w:rsidRPr="008D0E32">
        <w:rPr>
          <w:rStyle w:val="af0"/>
        </w:rPr>
        <w:footnoteRef/>
      </w:r>
      <w:r>
        <w:rPr>
          <w:rtl/>
        </w:rPr>
        <w:t>.</w:t>
      </w:r>
      <w:r>
        <w:rPr>
          <w:rtl/>
        </w:rPr>
        <w:tab/>
      </w:r>
      <w:r w:rsidRPr="008D0E32">
        <w:rPr>
          <w:rFonts w:hint="eastAsia"/>
          <w:b/>
          <w:bCs/>
          <w:rtl/>
        </w:rPr>
        <w:t>שם</w:t>
      </w:r>
      <w:r w:rsidRPr="008D0E32">
        <w:rPr>
          <w:rFonts w:hint="cs"/>
          <w:rtl/>
        </w:rPr>
        <w:t>, עמ'</w:t>
      </w:r>
      <w:r w:rsidRPr="008D0E32">
        <w:rPr>
          <w:rFonts w:ascii="Cambria" w:hAnsi="Cambria" w:cs="Cambria" w:hint="cs"/>
          <w:rtl/>
        </w:rPr>
        <w:t> </w:t>
      </w:r>
      <w:r w:rsidRPr="008D0E32">
        <w:rPr>
          <w:rFonts w:hint="cs"/>
          <w:rtl/>
        </w:rPr>
        <w:t>115.</w:t>
      </w:r>
    </w:p>
  </w:footnote>
  <w:footnote w:id="11">
    <w:p w14:paraId="0DBAF407" w14:textId="77777777" w:rsidR="00E5632D" w:rsidRPr="008D0E32" w:rsidRDefault="00E5632D" w:rsidP="00E5632D">
      <w:pPr>
        <w:pStyle w:val="ae"/>
        <w:rPr>
          <w:rtl/>
        </w:rPr>
      </w:pPr>
      <w:r w:rsidRPr="008D0E32">
        <w:rPr>
          <w:rStyle w:val="af0"/>
        </w:rPr>
        <w:footnoteRef/>
      </w:r>
      <w:r>
        <w:rPr>
          <w:rtl/>
        </w:rPr>
        <w:t>.</w:t>
      </w:r>
      <w:r>
        <w:rPr>
          <w:rtl/>
        </w:rPr>
        <w:tab/>
      </w:r>
      <w:r w:rsidRPr="008D0E32">
        <w:rPr>
          <w:rFonts w:hint="cs"/>
          <w:rtl/>
        </w:rPr>
        <w:t xml:space="preserve">מגדולי הפוסקים והמנהיגים של הציונות הדתית, מחברם של ספרים ומאמרים רבים. </w:t>
      </w:r>
      <w:r w:rsidRPr="008D0E32">
        <w:rPr>
          <w:rtl/>
        </w:rPr>
        <w:t>לשעבר רבה של כפר מימון וראש ישיבת בני עקיבא שם, וראש ישיבת ההסדר ימית.</w:t>
      </w:r>
      <w:r w:rsidRPr="008D0E32">
        <w:rPr>
          <w:rFonts w:hint="cs"/>
          <w:rtl/>
        </w:rPr>
        <w:t xml:space="preserve"> </w:t>
      </w:r>
      <w:r w:rsidRPr="008D0E32">
        <w:rPr>
          <w:rtl/>
        </w:rPr>
        <w:t xml:space="preserve">רב העיר רמת גן </w:t>
      </w:r>
      <w:r w:rsidRPr="008D0E32">
        <w:rPr>
          <w:rFonts w:hint="cs"/>
          <w:rtl/>
        </w:rPr>
        <w:t>(</w:t>
      </w:r>
      <w:r w:rsidRPr="008D0E32">
        <w:rPr>
          <w:rtl/>
        </w:rPr>
        <w:t>לשעבר</w:t>
      </w:r>
      <w:r w:rsidRPr="008D0E32">
        <w:rPr>
          <w:rFonts w:hint="cs"/>
          <w:rtl/>
        </w:rPr>
        <w:t>)</w:t>
      </w:r>
      <w:r w:rsidRPr="008D0E32">
        <w:rPr>
          <w:rtl/>
        </w:rPr>
        <w:t xml:space="preserve"> ונשיא ישיבת ההסדר בה</w:t>
      </w:r>
      <w:r w:rsidRPr="008D0E32">
        <w:rPr>
          <w:rFonts w:hint="cs"/>
          <w:rtl/>
        </w:rPr>
        <w:t>, נשיא מכון "התורה והארץ", ומוסדות נוספים.</w:t>
      </w:r>
    </w:p>
  </w:footnote>
  <w:footnote w:id="12">
    <w:p w14:paraId="583058B4" w14:textId="77777777" w:rsidR="00E5632D" w:rsidRPr="008D0E32" w:rsidRDefault="00E5632D" w:rsidP="00E5632D">
      <w:pPr>
        <w:pStyle w:val="ae"/>
      </w:pPr>
      <w:r w:rsidRPr="008D0E32">
        <w:rPr>
          <w:rStyle w:val="af0"/>
        </w:rPr>
        <w:footnoteRef/>
      </w:r>
      <w:r>
        <w:rPr>
          <w:rtl/>
        </w:rPr>
        <w:t>.</w:t>
      </w:r>
      <w:r>
        <w:rPr>
          <w:rtl/>
        </w:rPr>
        <w:tab/>
      </w:r>
      <w:r w:rsidRPr="008D0E32">
        <w:rPr>
          <w:rFonts w:hint="cs"/>
          <w:rtl/>
        </w:rPr>
        <w:t xml:space="preserve">"יערב שיחי", שיחות עם הרב יעקב אריאל, </w:t>
      </w:r>
      <w:proofErr w:type="spellStart"/>
      <w:r w:rsidRPr="008D0E32">
        <w:rPr>
          <w:rFonts w:hint="cs"/>
          <w:rtl/>
        </w:rPr>
        <w:t>ארלה</w:t>
      </w:r>
      <w:proofErr w:type="spellEnd"/>
      <w:r w:rsidRPr="008D0E32">
        <w:rPr>
          <w:rFonts w:hint="cs"/>
          <w:rtl/>
        </w:rPr>
        <w:t xml:space="preserve"> הראל, </w:t>
      </w:r>
      <w:proofErr w:type="spellStart"/>
      <w:r w:rsidRPr="008D0E32">
        <w:rPr>
          <w:rFonts w:hint="cs"/>
          <w:rtl/>
        </w:rPr>
        <w:t>דברי</w:t>
      </w:r>
      <w:r w:rsidRPr="008D0E32">
        <w:rPr>
          <w:rFonts w:hint="eastAsia"/>
          <w:rtl/>
        </w:rPr>
        <w:t>־</w:t>
      </w:r>
      <w:r w:rsidRPr="008D0E32">
        <w:rPr>
          <w:rFonts w:hint="cs"/>
          <w:rtl/>
        </w:rPr>
        <w:t>שיר</w:t>
      </w:r>
      <w:proofErr w:type="spellEnd"/>
      <w:r w:rsidRPr="008D0E32">
        <w:rPr>
          <w:rFonts w:hint="cs"/>
          <w:rtl/>
        </w:rPr>
        <w:t>, עמ' 472</w:t>
      </w:r>
      <w:r w:rsidRPr="008D0E32">
        <w:rPr>
          <w:rtl/>
        </w:rPr>
        <w:noBreakHyphen/>
      </w:r>
      <w:r w:rsidRPr="008D0E32">
        <w:rPr>
          <w:rFonts w:hint="cs"/>
          <w:rtl/>
        </w:rPr>
        <w:t>474.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2D"/>
    <w:rsid w:val="001F0DE0"/>
    <w:rsid w:val="003D325E"/>
    <w:rsid w:val="004F31B6"/>
    <w:rsid w:val="008D70FF"/>
    <w:rsid w:val="00BC716B"/>
    <w:rsid w:val="00C4625C"/>
    <w:rsid w:val="00CA40E1"/>
    <w:rsid w:val="00CB3C93"/>
    <w:rsid w:val="00E5632D"/>
    <w:rsid w:val="00ED0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0ED5"/>
  <w15:chartTrackingRefBased/>
  <w15:docId w15:val="{9689DCA0-654B-4F99-9765-797D821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32D"/>
    <w:pPr>
      <w:bidi/>
      <w:spacing w:after="0" w:line="320" w:lineRule="exact"/>
      <w:ind w:firstLine="284"/>
      <w:jc w:val="both"/>
    </w:pPr>
    <w:rPr>
      <w:rFonts w:ascii="David" w:hAnsi="David" w:cs="PFT_Frank"/>
      <w:kern w:val="0"/>
      <w14:ligatures w14:val="none"/>
    </w:rPr>
  </w:style>
  <w:style w:type="paragraph" w:styleId="1">
    <w:name w:val="heading 1"/>
    <w:basedOn w:val="a"/>
    <w:next w:val="a"/>
    <w:link w:val="10"/>
    <w:uiPriority w:val="9"/>
    <w:qFormat/>
    <w:rsid w:val="00E5632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E5632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5632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5632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E5632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E5632D"/>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5632D"/>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5632D"/>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5632D"/>
    <w:pPr>
      <w:keepNext/>
      <w:keepLines/>
      <w:spacing w:line="259"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5632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E5632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5632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5632D"/>
    <w:rPr>
      <w:rFonts w:eastAsiaTheme="majorEastAsia" w:cstheme="majorBidi"/>
      <w:i/>
      <w:iCs/>
      <w:color w:val="0F4761" w:themeColor="accent1" w:themeShade="BF"/>
    </w:rPr>
  </w:style>
  <w:style w:type="character" w:customStyle="1" w:styleId="50">
    <w:name w:val="כותרת 5 תו"/>
    <w:basedOn w:val="a0"/>
    <w:link w:val="5"/>
    <w:uiPriority w:val="9"/>
    <w:semiHidden/>
    <w:rsid w:val="00E5632D"/>
    <w:rPr>
      <w:rFonts w:eastAsiaTheme="majorEastAsia" w:cstheme="majorBidi"/>
      <w:color w:val="0F4761" w:themeColor="accent1" w:themeShade="BF"/>
    </w:rPr>
  </w:style>
  <w:style w:type="character" w:customStyle="1" w:styleId="60">
    <w:name w:val="כותרת 6 תו"/>
    <w:basedOn w:val="a0"/>
    <w:link w:val="6"/>
    <w:uiPriority w:val="9"/>
    <w:semiHidden/>
    <w:rsid w:val="00E5632D"/>
    <w:rPr>
      <w:rFonts w:eastAsiaTheme="majorEastAsia" w:cstheme="majorBidi"/>
      <w:i/>
      <w:iCs/>
      <w:color w:val="595959" w:themeColor="text1" w:themeTint="A6"/>
    </w:rPr>
  </w:style>
  <w:style w:type="character" w:customStyle="1" w:styleId="70">
    <w:name w:val="כותרת 7 תו"/>
    <w:basedOn w:val="a0"/>
    <w:link w:val="7"/>
    <w:uiPriority w:val="9"/>
    <w:semiHidden/>
    <w:rsid w:val="00E5632D"/>
    <w:rPr>
      <w:rFonts w:eastAsiaTheme="majorEastAsia" w:cstheme="majorBidi"/>
      <w:color w:val="595959" w:themeColor="text1" w:themeTint="A6"/>
    </w:rPr>
  </w:style>
  <w:style w:type="character" w:customStyle="1" w:styleId="80">
    <w:name w:val="כותרת 8 תו"/>
    <w:basedOn w:val="a0"/>
    <w:link w:val="8"/>
    <w:uiPriority w:val="9"/>
    <w:semiHidden/>
    <w:rsid w:val="00E5632D"/>
    <w:rPr>
      <w:rFonts w:eastAsiaTheme="majorEastAsia" w:cstheme="majorBidi"/>
      <w:i/>
      <w:iCs/>
      <w:color w:val="272727" w:themeColor="text1" w:themeTint="D8"/>
    </w:rPr>
  </w:style>
  <w:style w:type="character" w:customStyle="1" w:styleId="90">
    <w:name w:val="כותרת 9 תו"/>
    <w:basedOn w:val="a0"/>
    <w:link w:val="9"/>
    <w:uiPriority w:val="9"/>
    <w:semiHidden/>
    <w:rsid w:val="00E5632D"/>
    <w:rPr>
      <w:rFonts w:eastAsiaTheme="majorEastAsia" w:cstheme="majorBidi"/>
      <w:color w:val="272727" w:themeColor="text1" w:themeTint="D8"/>
    </w:rPr>
  </w:style>
  <w:style w:type="paragraph" w:styleId="a3">
    <w:name w:val="Title"/>
    <w:basedOn w:val="a"/>
    <w:next w:val="a"/>
    <w:link w:val="a4"/>
    <w:uiPriority w:val="10"/>
    <w:qFormat/>
    <w:rsid w:val="00E5632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E56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32D"/>
    <w:pPr>
      <w:numPr>
        <w:ilvl w:val="1"/>
      </w:numPr>
      <w:spacing w:after="160" w:line="259" w:lineRule="auto"/>
      <w:ind w:firstLine="284"/>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E563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5632D"/>
    <w:pPr>
      <w:spacing w:before="160" w:after="160" w:line="259" w:lineRule="auto"/>
      <w:ind w:firstLine="0"/>
      <w:jc w:val="center"/>
    </w:pPr>
    <w:rPr>
      <w:rFonts w:asciiTheme="minorHAnsi" w:hAnsiTheme="minorHAnsi" w:cstheme="minorBidi"/>
      <w:i/>
      <w:iCs/>
      <w:color w:val="404040" w:themeColor="text1" w:themeTint="BF"/>
      <w:kern w:val="2"/>
      <w14:ligatures w14:val="standardContextual"/>
    </w:rPr>
  </w:style>
  <w:style w:type="character" w:customStyle="1" w:styleId="a8">
    <w:name w:val="ציטוט תו"/>
    <w:basedOn w:val="a0"/>
    <w:link w:val="a7"/>
    <w:uiPriority w:val="29"/>
    <w:rsid w:val="00E5632D"/>
    <w:rPr>
      <w:i/>
      <w:iCs/>
      <w:color w:val="404040" w:themeColor="text1" w:themeTint="BF"/>
    </w:rPr>
  </w:style>
  <w:style w:type="paragraph" w:styleId="a9">
    <w:name w:val="List Paragraph"/>
    <w:basedOn w:val="a"/>
    <w:uiPriority w:val="34"/>
    <w:qFormat/>
    <w:rsid w:val="00E5632D"/>
    <w:pPr>
      <w:spacing w:after="160" w:line="259" w:lineRule="auto"/>
      <w:ind w:left="720" w:firstLine="0"/>
      <w:contextualSpacing/>
      <w:jc w:val="left"/>
    </w:pPr>
    <w:rPr>
      <w:rFonts w:asciiTheme="minorHAnsi" w:hAnsiTheme="minorHAnsi" w:cstheme="minorBidi"/>
      <w:kern w:val="2"/>
      <w14:ligatures w14:val="standardContextual"/>
    </w:rPr>
  </w:style>
  <w:style w:type="character" w:styleId="aa">
    <w:name w:val="Intense Emphasis"/>
    <w:basedOn w:val="a0"/>
    <w:uiPriority w:val="21"/>
    <w:qFormat/>
    <w:rsid w:val="00E5632D"/>
    <w:rPr>
      <w:i/>
      <w:iCs/>
      <w:color w:val="0F4761" w:themeColor="accent1" w:themeShade="BF"/>
    </w:rPr>
  </w:style>
  <w:style w:type="paragraph" w:styleId="ab">
    <w:name w:val="Intense Quote"/>
    <w:basedOn w:val="a"/>
    <w:next w:val="a"/>
    <w:link w:val="ac"/>
    <w:uiPriority w:val="30"/>
    <w:qFormat/>
    <w:rsid w:val="00E5632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hAnsiTheme="minorHAnsi" w:cstheme="minorBidi"/>
      <w:i/>
      <w:iCs/>
      <w:color w:val="0F4761" w:themeColor="accent1" w:themeShade="BF"/>
      <w:kern w:val="2"/>
      <w14:ligatures w14:val="standardContextual"/>
    </w:rPr>
  </w:style>
  <w:style w:type="character" w:customStyle="1" w:styleId="ac">
    <w:name w:val="ציטוט חזק תו"/>
    <w:basedOn w:val="a0"/>
    <w:link w:val="ab"/>
    <w:uiPriority w:val="30"/>
    <w:rsid w:val="00E5632D"/>
    <w:rPr>
      <w:i/>
      <w:iCs/>
      <w:color w:val="0F4761" w:themeColor="accent1" w:themeShade="BF"/>
    </w:rPr>
  </w:style>
  <w:style w:type="character" w:styleId="ad">
    <w:name w:val="Intense Reference"/>
    <w:basedOn w:val="a0"/>
    <w:uiPriority w:val="32"/>
    <w:qFormat/>
    <w:rsid w:val="00E5632D"/>
    <w:rPr>
      <w:b/>
      <w:bCs/>
      <w:smallCaps/>
      <w:color w:val="0F4761" w:themeColor="accent1" w:themeShade="BF"/>
      <w:spacing w:val="5"/>
    </w:rPr>
  </w:style>
  <w:style w:type="paragraph" w:styleId="ae">
    <w:name w:val="footnote text"/>
    <w:aliases w:val="תו תו תו,טקסט הערות שוליים תו,הערה,Footnote Text1, תו תו תו"/>
    <w:basedOn w:val="a"/>
    <w:link w:val="af"/>
    <w:uiPriority w:val="99"/>
    <w:unhideWhenUsed/>
    <w:rsid w:val="00E5632D"/>
    <w:pPr>
      <w:spacing w:line="240" w:lineRule="auto"/>
      <w:ind w:left="284" w:hanging="284"/>
    </w:pPr>
    <w:rPr>
      <w:sz w:val="18"/>
      <w:szCs w:val="18"/>
    </w:rPr>
  </w:style>
  <w:style w:type="character" w:customStyle="1" w:styleId="af">
    <w:name w:val="טקסט הערת שוליים תו"/>
    <w:aliases w:val="תו תו תו תו,טקסט הערות שוליים תו תו,הערה תו,Footnote Text1 תו, תו תו תו תו"/>
    <w:basedOn w:val="a0"/>
    <w:link w:val="ae"/>
    <w:uiPriority w:val="99"/>
    <w:rsid w:val="00E5632D"/>
    <w:rPr>
      <w:rFonts w:ascii="David" w:hAnsi="David" w:cs="PFT_Frank"/>
      <w:kern w:val="0"/>
      <w:sz w:val="18"/>
      <w:szCs w:val="18"/>
      <w14:ligatures w14:val="none"/>
    </w:rPr>
  </w:style>
  <w:style w:type="character" w:styleId="af0">
    <w:name w:val="footnote reference"/>
    <w:aliases w:val="אות הערה"/>
    <w:basedOn w:val="a0"/>
    <w:unhideWhenUsed/>
    <w:rsid w:val="00E5632D"/>
    <w:rPr>
      <w:bCs w:val="0"/>
      <w:iCs w:val="0"/>
      <w:position w:val="-4"/>
      <w:vertAlign w:val="superscript"/>
    </w:rPr>
  </w:style>
  <w:style w:type="paragraph" w:customStyle="1" w:styleId="af1">
    <w:name w:val="מקור"/>
    <w:basedOn w:val="a"/>
    <w:qFormat/>
    <w:rsid w:val="00E5632D"/>
    <w:pPr>
      <w:spacing w:before="320" w:after="320"/>
      <w:ind w:left="567" w:firstLine="0"/>
      <w:contextualSpacing/>
    </w:pPr>
    <w:rPr>
      <w:sz w:val="20"/>
      <w:szCs w:val="20"/>
    </w:rPr>
  </w:style>
  <w:style w:type="paragraph" w:customStyle="1" w:styleId="af2">
    <w:name w:val="פסקה ראשונה"/>
    <w:basedOn w:val="a"/>
    <w:qFormat/>
    <w:rsid w:val="00E5632D"/>
    <w:pPr>
      <w:ind w:firstLine="0"/>
    </w:pPr>
    <w:rPr>
      <w:rFonts w:ascii="PFT_Frank" w:hAnsi="PFT_Fr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6015</Characters>
  <Application>Microsoft Office Word</Application>
  <DocSecurity>0</DocSecurity>
  <Lines>50</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משפחת וסרמן</dc:creator>
  <cp:keywords/>
  <dc:description/>
  <cp:lastModifiedBy>raphy kaplan</cp:lastModifiedBy>
  <cp:revision>2</cp:revision>
  <dcterms:created xsi:type="dcterms:W3CDTF">2025-11-24T08:54:00Z</dcterms:created>
  <dcterms:modified xsi:type="dcterms:W3CDTF">2025-11-24T08:54:00Z</dcterms:modified>
</cp:coreProperties>
</file>